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
          <w:iCs/>
        </w:rPr>
        <w:t xml:space="preserve">Endocrine Connections</w:t>
      </w:r>
    </w:p>
    <w:p>
      <w:pPr>
        <w:pStyle w:val="BodyText"/>
        <w:widowControl/>
      </w:pPr>
      <w:r>
        <w:t xml:space="preserve">Dear Editor-in-Chief,</w:t>
      </w:r>
    </w:p>
    <w:p>
      <w:pPr>
        <w:pStyle w:val="BodyText"/>
        <w:widowControl/>
      </w:pPr>
      <w:r>
        <w:t xml:space="preserve">Please consider “Genetic evidence for TSHR and IGF1R in Graves disease and thyroid eye disease” 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
          <w:iCs/>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9"/>
    <w:sectPr>
      <w:footerReference w:type="default" r:id="rId9"/>
      <w:footerReference w:type="first" r:id="rId10"/>
      <w:footerReference w:type="even" r:id="rId11"/>
      <w:footnotePr>
        <w:numRestart w:val="eachSect"/>
      </w:footnote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qFormat/>
    <w:pPr>
      <w:spacing w:after="100" w:before="180" w:line="240" w:lineRule="auto"/>
    </w:pPr>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2026-09-12T13:46:16Z</dcterms:created>
  <dcterms:modified xsi:type="dcterms:W3CDTF">2026-09-12T13:46:16Z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