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upplementary-material"/>
    <w:p>
      <w:pPr>
        <w:pStyle w:val="Title"/>
        <w:widowControl/>
      </w:pPr>
      <w:r>
        <w:t xml:space="preserve">Supplementary material</w:t>
      </w:r>
    </w:p>
    <w:p>
      <w:pPr>
        <w:pStyle w:val="FirstParagraph"/>
        <w:widowControl/>
      </w:pPr>
      <w:r>
        <w:t xml:space="preserve">Genetic evidence for TSHR and IGF1R in Graves disease and thyroid eye disease</w:t>
      </w:r>
    </w:p>
    <w:bookmarkStart w:id="14" w:name="supplementary-methods"/>
    <w:p>
      <w:pPr>
        <w:pStyle w:val="Heading2"/>
        <w:widowControl/>
      </w:pPr>
      <w:r>
        <w:t xml:space="preserve">Supplementary Methods</w:t>
      </w:r>
    </w:p>
    <w:bookmarkStart w:id="9"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
          <w:iCs/>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[19].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9"/>
    <w:bookmarkStart w:id="10"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[21, 22]. With three or four instruments, a non-significant intercept has limited ability to exclude pleiotropy. Steiger directionality [23], bidirectional MR and leave-one-out analyses were not reported. Single-instrument analyses were limited to the Wald ratio.</w:t>
      </w:r>
    </w:p>
    <w:p>
      <w:pPr>
        <w:pStyle w:val="BodyText"/>
        <w:widowControl/>
      </w:pPr>
      <w:r>
        <w:t xml:space="preserve">At</w:t>
      </w:r>
      <w:r>
        <w:t xml:space="preserve"> </w:t>
      </w:r>
      <w:r>
        <w:rPr>
          <w:i/>
          <w:iCs/>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
          <w:iCs/>
        </w:rPr>
        <w:t xml:space="preserve">P</w:t>
      </w:r>
      <w:r>
        <w:t xml:space="preserve"> </w:t>
      </w:r>
      <w:r>
        <w:t xml:space="preserve">&lt; 5×10⁻⁶ retained rs8050588 (</w:t>
      </w:r>
      <w:r>
        <w:rPr>
          <w:i/>
          <w:iCs/>
        </w:rPr>
        <w:t xml:space="preserve">P</w:t>
      </w:r>
      <w:r>
        <w:t xml:space="preserve"> </w:t>
      </w:r>
      <w:r>
        <w:t xml:space="preserve">= 1.15×10⁻⁸). After conditioning, the three marginal associations had</w:t>
      </w:r>
      <w:r>
        <w:t xml:space="preserve"> </w:t>
      </w:r>
      <w:r>
        <w:rPr>
          <w:i/>
          <w:iCs/>
        </w:rPr>
        <w:t xml:space="preserve">P</w:t>
      </w:r>
      <w:r>
        <w:t xml:space="preserve"> </w:t>
      </w:r>
      <w:r>
        <w:t xml:space="preserve">values of 0.928, 0.839 and 0.806, respectively. This supports regional dependence and does not identify a particular causal gene.</w:t>
      </w:r>
    </w:p>
    <w:bookmarkEnd w:id="10"/>
    <w:bookmarkStart w:id="11"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[24].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11"/>
    <w:bookmarkStart w:id="12"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bookmarkEnd w:id="12"/>
    <w:bookmarkStart w:id="13"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
          <w:iCs/>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footnotePr>
            <w:numRestart w:val="eachSect"/>
          </w:footnotePr>
          <w:type w:val="nextPage"/>
          <w:pgSz w:w="11909" w:h="16834"/>
          <w:pgMar w:left="1368" w:right="1368" w:top="1152" w:bottom="1152" w:header="432" w:footer="432"/>
        </w:sectPr>
      </w:pPr>
    </w:p>
    <w:p>
      <w:pPr>
        <w:pStyle w:val="BodyText"/>
        <w:keepNext/>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w:t>
      </w:r>
    </w:p>
    <w:p>
      <w:pPr>
        <w:pStyle w:val="BodyText"/>
        <w:keepNext/>
        <w:pageBreakBefore/>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
          <w:bCs/>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rFonts w:ascii="Times New Roman" w:hAnsi="Times New Roman"/>
                <w:b/>
                <w:i/>
                <w:iCs/>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rFonts w:ascii="Times New Roman" w:hAnsi="Times New Roman"/>
                <w:b/>
                <w:i/>
                <w:iCs/>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
          <w:bCs/>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
          <w:bCs/>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
          <w:iCs/>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13"/>
    <w:bookmarkEnd w:id="14"/>
    <w:bookmarkEnd w:id="15"/>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2026-09-12T13:43:21Z</dcterms:created>
  <dcterms:modified xsi:type="dcterms:W3CDTF">2026-09-12T13:43:21Z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