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Running head:</w:t>
      </w:r>
      <w:r>
        <w:t xml:space="preserve"> </w:t>
      </w:r>
      <w:r>
        <w:t xml:space="preserve">Diverging genetic architecture of TSHR and IGF1R in GD/TED</w:t>
      </w:r>
    </w:p>
    <w:bookmarkStart w:id="42" w:name="X14fa581d7eccf933d0c504c185d9a2d8cdf7a99"/>
    <w:p>
      <w:pPr>
        <w:pStyle w:val="Heading1"/>
      </w:pPr>
      <w:r>
        <w:t xml:space="preserve">Genetic susceptibility and therapeutic target biology diverge at TSHR and IGF1R in Graves disease and thyroid eye disease</w:t>
      </w:r>
    </w:p>
    <w:p>
      <w:pPr>
        <w:pStyle w:val="FirstParagraph"/>
      </w:pPr>
      <w:r>
        <w:t xml:space="preserve">Jungyul Park¹, Min-Seon Kim², Kyung-Hwa Shin³⁎, Suk-Woo Yang¹⁎</w:t>
      </w:r>
    </w:p>
    <w:p>
      <w:pPr>
        <w:pStyle w:val="BodyText"/>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pPr>
      <w:r>
        <w:t xml:space="preserve">* These authors contributed equally as corresponding authors.</w:t>
      </w:r>
    </w:p>
    <w:p>
      <w:pPr>
        <w:pStyle w:val="BodyText"/>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Teprotumumab targets IGF-1R in thyroid eye disease (TED), but whether</w:t>
      </w:r>
      <w:r>
        <w:t xml:space="preserve"> </w:t>
      </w:r>
      <w:r>
        <w:rPr>
          <w:iCs/>
          <w:i/>
        </w:rPr>
        <w:t xml:space="preserve">IGF1R</w:t>
      </w:r>
      <w:r>
        <w:t xml:space="preserve"> </w:t>
      </w:r>
      <w:r>
        <w:t xml:space="preserve">carries the genetic architecture of a susceptibility locus, as the established autoantigen</w:t>
      </w:r>
      <w:r>
        <w:t xml:space="preserve"> </w:t>
      </w:r>
      <w:r>
        <w:rPr>
          <w:iCs/>
          <w:i/>
        </w:rPr>
        <w:t xml:space="preserve">TSHR</w:t>
      </w:r>
      <w:r>
        <w:t xml:space="preserve"> </w:t>
      </w:r>
      <w:r>
        <w:t xml:space="preserve">does, remains unclear. We applied a druggable-gene-wide Mendelian randomization (MR) and colocalization framework to separate susceptibility from effector axes in Graves disease (GD) and TED.</w:t>
      </w:r>
      <w:r>
        <w:t xml:space="preserve"> </w:t>
      </w:r>
      <w:r>
        <w:rPr>
          <w:bCs/>
          <w:b/>
        </w:rPr>
        <w:t xml:space="preserve">Methods:</w:t>
      </w:r>
      <w:r>
        <w:t xml:space="preserve"> </w:t>
      </w:r>
      <w:r>
        <w:t xml:space="preserve">eQTLGen blood</w:t>
      </w:r>
      <w:r>
        <w:t xml:space="preserve"> </w:t>
      </w:r>
      <w:r>
        <w:rPr>
          <w:iCs/>
          <w:i/>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w:t>
      </w:r>
      <w:r>
        <w:t xml:space="preserve"> </w:t>
      </w:r>
      <w:r>
        <w:rPr>
          <w:bCs/>
          <w:b/>
        </w:rPr>
        <w:t xml:space="preserve">Results:</w:t>
      </w:r>
      <w:r>
        <w:t xml:space="preserve"> </w:t>
      </w:r>
      <w:r>
        <w:t xml:space="preserve">Thirteen genes reached Bonferroni significance in discovery.</w:t>
      </w:r>
      <w:r>
        <w:t xml:space="preserve"> </w:t>
      </w:r>
      <w:r>
        <w:rPr>
          <w:iCs/>
          <w:i/>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Cs/>
          <w:i/>
        </w:rPr>
        <w:t xml:space="preserve">IGF1R</w:t>
      </w:r>
      <w:r>
        <w:t xml:space="preserve"> </w:t>
      </w:r>
      <w:r>
        <w:t xml:space="preserve">showed directionally consistent risk-direction MR estimates, reaching nominal significance in BBJ and UKB but not in the smaller FinnGen outcome, and lacked expression colocalization in every outcome (PP.H4=0.073, 0.404, 0.032).</w:t>
      </w:r>
      <w:r>
        <w:t xml:space="preserve"> </w:t>
      </w:r>
      <w:r>
        <w:rPr>
          <w:iCs/>
          <w:i/>
        </w:rPr>
        <w:t xml:space="preserve">CTLA4</w:t>
      </w:r>
      <w:r>
        <w:t xml:space="preserve">, the positive control, colocalized in both European outcomes but not in discovery. No novel candidate satisfied the dual-phenotype colocalization criterion.</w:t>
      </w:r>
      <w:r>
        <w:t xml:space="preserve"> </w:t>
      </w:r>
      <w:r>
        <w:rPr>
          <w:bCs/>
          <w:b/>
        </w:rPr>
        <w:t xml:space="preserve">Conclusion:</w:t>
      </w:r>
      <w:r>
        <w:t xml:space="preserve"> </w:t>
      </w:r>
      <w:r>
        <w:t xml:space="preserve">This framework supports</w:t>
      </w:r>
      <w:r>
        <w:t xml:space="preserve"> </w:t>
      </w:r>
      <w:r>
        <w:rPr>
          <w:iCs/>
          <w:i/>
        </w:rPr>
        <w:t xml:space="preserve">TSHR</w:t>
      </w:r>
      <w:r>
        <w:t xml:space="preserve"> </w:t>
      </w:r>
      <w:r>
        <w:t xml:space="preserve">as an expression-colocalized susceptibility anchor for GD, whereas the</w:t>
      </w:r>
      <w:r>
        <w:t xml:space="preserve"> </w:t>
      </w:r>
      <w:r>
        <w:rPr>
          <w:iCs/>
          <w:i/>
        </w:rPr>
        <w:t xml:space="preserve">IGF1R</w:t>
      </w:r>
      <w:r>
        <w:t xml:space="preserve"> </w:t>
      </w:r>
      <w:r>
        <w:t xml:space="preserve">profile is more compatible with pharmacologic effector biology than with the</w:t>
      </w:r>
      <w:r>
        <w:t xml:space="preserve"> </w:t>
      </w:r>
      <w:r>
        <w:rPr>
          <w:iCs/>
          <w:i/>
        </w:rPr>
        <w:t xml:space="preserve">TSHR</w:t>
      </w:r>
      <w:r>
        <w:t xml:space="preserve">-like expression-colocalized susceptibility architecture, while not excluding a more modest genetic contribution.</w:t>
      </w:r>
    </w:p>
    <w:p>
      <w:pPr>
        <w:pStyle w:val="BodyText"/>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Cs/>
          <w:i/>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pPr>
      <w:r>
        <w:rPr>
          <w:iCs/>
          <w:i/>
        </w:rPr>
        <w:t xml:space="preserve">TSHR</w:t>
      </w:r>
      <w:r>
        <w:t xml:space="preserve"> </w:t>
      </w:r>
      <w:r>
        <w:t xml:space="preserve">and IGF-1R occupy different but biologically connected positions in GD/TED pathogenesis and therapy.</w:t>
      </w:r>
      <w:r>
        <w:t xml:space="preserve"> </w:t>
      </w:r>
      <w:r>
        <w:rPr>
          <w:iCs/>
          <w:i/>
        </w:rPr>
        <w:t xml:space="preserve">TSHR</w:t>
      </w:r>
      <w:r>
        <w:t xml:space="preserve"> </w:t>
      </w:r>
      <w:r>
        <w:t xml:space="preserve">is the central autoantigen of GD: loss of immune tolerance to the thyrotropin receptor gives rise to TSHR-directed stimulating autoantibodies, and</w:t>
      </w:r>
      <w:r>
        <w:t xml:space="preserve"> </w:t>
      </w:r>
      <w:r>
        <w:rPr>
          <w:iCs/>
          <w:i/>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Cs/>
          <w:i/>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Cs/>
          <w:i/>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Cs/>
          <w:i/>
        </w:rPr>
        <w:t xml:space="preserve">TSHR</w:t>
      </w:r>
      <w:r>
        <w:t xml:space="preserve"> </w:t>
      </w:r>
      <w:r>
        <w:t xml:space="preserve">and</w:t>
      </w:r>
      <w:r>
        <w:t xml:space="preserve"> </w:t>
      </w:r>
      <w:r>
        <w:rPr>
          <w:iCs/>
          <w:i/>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pPr>
      <w:r>
        <w:t xml:space="preserve">Despite these advances, existing work has not systematically distinguished genetically anchored susceptibility loci from pharmacologic effector targets across GD- and TED-relevant outcomes. Candidate-focused analyses have examined a limited number of preselected loci, leaving the relative genetic positions of</w:t>
      </w:r>
      <w:r>
        <w:t xml:space="preserve"> </w:t>
      </w:r>
      <w:r>
        <w:rPr>
          <w:iCs/>
          <w:i/>
        </w:rPr>
        <w:t xml:space="preserve">TSHR</w:t>
      </w:r>
      <w:r>
        <w:t xml:space="preserve"> </w:t>
      </w:r>
      <w:r>
        <w:t xml:space="preserve">and</w:t>
      </w:r>
      <w:r>
        <w:t xml:space="preserve"> </w:t>
      </w:r>
      <w:r>
        <w:rPr>
          <w:iCs/>
          <w:i/>
        </w:rPr>
        <w:t xml:space="preserve">IGF1R</w:t>
      </w:r>
      <w:r>
        <w:t xml:space="preserve"> </w:t>
      </w:r>
      <w:r>
        <w:t xml:space="preserve">unresolved within a common framework; single-outcome designs can elevate locus-specific or linkage-driven signals that do not reproduce across related phenotypes, with TED outcomes often underpowered or treated only as secondary; and genetic association has seldom been integrated with colocalization across multiple related outcomes in a way that separates expression-colocalized susceptibility from non-colocalized effector biology.</w:t>
      </w:r>
    </w:p>
    <w:p>
      <w:pPr>
        <w:pStyle w:val="BodyText"/>
      </w:pPr>
      <w:r>
        <w:t xml:space="preserve">We therefore applied a druggable-gene-wide</w:t>
      </w:r>
      <w:r>
        <w:t xml:space="preserve"> </w:t>
      </w:r>
      <w:r>
        <w:rPr>
          <w:iCs/>
          <w:i/>
        </w:rPr>
        <w:t xml:space="preserve">cis</w:t>
      </w:r>
      <w:r>
        <w:t xml:space="preserve">-eQTL MR and colocalization framework across a prespecified GD/TED outcome hierarchy: Biobank Japan Graves disease as the primary discovery outcome, UK Biobank hyperthyroidism as replication, and FinnGen Graves ophthalmopathy as a TED-enriched sensitivity outcome. We evaluated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p>
      <w:r>
        <w:pict>
          <v:rect style="width:0;height:1.5pt" o:hralign="center" o:hrstd="t" o:hr="t"/>
        </w:pict>
      </w:r>
    </w:p>
    <w:bookmarkEnd w:id="21"/>
    <w:bookmarkStart w:id="29" w:name="methods"/>
    <w:p>
      <w:pPr>
        <w:pStyle w:val="Heading2"/>
      </w:pPr>
      <w:r>
        <w:t xml:space="preserve">Methods</w:t>
      </w:r>
    </w:p>
    <w:bookmarkStart w:id="22" w:name="study-design-and-data-sources"/>
    <w:p>
      <w:pPr>
        <w:pStyle w:val="Heading3"/>
      </w:pPr>
      <w:r>
        <w:t xml:space="preserve">Study design and data sources</w:t>
      </w:r>
    </w:p>
    <w:p>
      <w:pPr>
        <w:pStyle w:val="FirstParagraph"/>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Cs/>
          <w:i/>
        </w:rPr>
        <w:t xml:space="preserve">cis</w:t>
      </w:r>
      <w:r>
        <w:t xml:space="preserve">-eQTL instruments from the eQTLGen Consortium (predominantly European; up to 31,684 participants) [12].</w:t>
      </w:r>
    </w:p>
    <w:p>
      <w:pPr>
        <w:pStyle w:val="BodyText"/>
      </w:pPr>
      <w:r>
        <w:t xml:space="preserve">Disease outcomes followed a prespecified functional hierarchy: Graves disease from Biobank Japan (BBJ; East Asian; 2,809 cases) served as the primary discovery outcome,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provided exploratory tissue-level triangulation and was not used for instrument selection. Three genes were designated a priori as the interpretive backbone on biological and therapeutic grounds rather than on screen results:</w:t>
      </w:r>
      <w:r>
        <w:t xml:space="preserve"> </w:t>
      </w:r>
      <w:r>
        <w:rPr>
          <w:iCs/>
          <w:i/>
        </w:rPr>
        <w:t xml:space="preserve">TSHR</w:t>
      </w:r>
      <w:r>
        <w:t xml:space="preserve"> </w:t>
      </w:r>
      <w:r>
        <w:t xml:space="preserve">(the Graves disease autoantigen),</w:t>
      </w:r>
      <w:r>
        <w:t xml:space="preserve"> </w:t>
      </w:r>
      <w:r>
        <w:rPr>
          <w:iCs/>
          <w:i/>
        </w:rPr>
        <w:t xml:space="preserve">IGF1R</w:t>
      </w:r>
      <w:r>
        <w:t xml:space="preserve"> </w:t>
      </w:r>
      <w:r>
        <w:t xml:space="preserve">(the target of teprotumumab), and</w:t>
      </w:r>
      <w:r>
        <w:t xml:space="preserve"> </w:t>
      </w:r>
      <w:r>
        <w:rPr>
          <w:iCs/>
          <w:i/>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Cs/>
          <w:i/>
        </w:rPr>
        <w:t xml:space="preserve">P</w:t>
      </w:r>
      <w:r>
        <w:t xml:space="preserve"> </w:t>
      </w:r>
      <w:r>
        <w:t xml:space="preserve">values, with an additional LD-clumping sensitivity assessment at the single-instrument</w:t>
      </w:r>
      <w:r>
        <w:t xml:space="preserve"> </w:t>
      </w:r>
      <w:r>
        <w:rPr>
          <w:iCs/>
          <w:i/>
        </w:rPr>
        <w:t xml:space="preserve">TSHR</w:t>
      </w:r>
      <w:r>
        <w:t xml:space="preserve"> </w:t>
      </w:r>
      <w:r>
        <w:t xml:space="preserve">locus.</w:t>
      </w:r>
    </w:p>
    <w:bookmarkEnd w:id="22"/>
    <w:bookmarkStart w:id="23" w:name="X634715aa822f62c21a9e016243f0e5e77653f0b"/>
    <w:p>
      <w:pPr>
        <w:pStyle w:val="Heading3"/>
      </w:pPr>
      <w:r>
        <w:t xml:space="preserve">Druggable gene set and instrument selection</w:t>
      </w:r>
    </w:p>
    <w:p>
      <w:pPr>
        <w:pStyle w:val="FirstParagraph"/>
      </w:pPr>
      <w:r>
        <w:t xml:space="preserve">Analyses were restricted to the druggable genome (Finan et al. [16]; 4,462 genes, GRCh37). For each gene,</w:t>
      </w:r>
      <w:r>
        <w:t xml:space="preserve"> </w:t>
      </w:r>
      <w:r>
        <w:rPr>
          <w:iCs/>
          <w:i/>
        </w:rPr>
        <w:t xml:space="preserve">cis</w:t>
      </w:r>
      <w:r>
        <w:t xml:space="preserve">-eQTL variants within ±1 Mb reaching genome-wide significance (</w:t>
      </w:r>
      <w:r>
        <w:rPr>
          <w:iCs/>
          <w:i/>
        </w:rPr>
        <w:t xml:space="preserve">P</w:t>
      </w:r>
      <w:r>
        <w:t xml:space="preserve"> </w:t>
      </w:r>
      <w:r>
        <w:t xml:space="preserve">&lt; 5×10⁻⁸) were eligible as instruments; a relaxed threshold (</w:t>
      </w:r>
      <w:r>
        <w:rPr>
          <w:iCs/>
          <w:i/>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Cs/>
          <w:i/>
        </w:rPr>
        <w:t xml:space="preserve">r</w:t>
      </w:r>
      <w:r>
        <w:t xml:space="preserve">² &lt; 0.001, 10-Mb window) using local PLINK v1.9 [18] with the same reference panel. Instrument strength was quantified as</w:t>
      </w:r>
      <w:r>
        <w:t xml:space="preserve"> </w:t>
      </w:r>
      <w:r>
        <w:rPr>
          <w:iCs/>
          <w:i/>
        </w:rPr>
        <w:t xml:space="preserve">F</w:t>
      </w:r>
      <w:r>
        <w:t xml:space="preserve"> </w:t>
      </w:r>
      <w:r>
        <w:t xml:space="preserve">=</w:t>
      </w:r>
      <w:r>
        <w:t xml:space="preserve"> </w:t>
      </w:r>
      <w:r>
        <w:rPr>
          <w:iCs/>
          <w:i/>
        </w:rPr>
        <w:t xml:space="preserve">Z</w:t>
      </w:r>
      <w:r>
        <w:t xml:space="preserve">². Selection at</w:t>
      </w:r>
      <w:r>
        <w:t xml:space="preserve"> </w:t>
      </w:r>
      <w:r>
        <w:rPr>
          <w:iCs/>
          <w:i/>
        </w:rPr>
        <w:t xml:space="preserve">P</w:t>
      </w:r>
      <w:r>
        <w:t xml:space="preserve"> </w:t>
      </w:r>
      <w:r>
        <w:t xml:space="preserve">&lt; 5×10⁻⁸ implies |</w:t>
      </w:r>
      <w:r>
        <w:rPr>
          <w:iCs/>
          <w:i/>
        </w:rPr>
        <w:t xml:space="preserve">Z</w:t>
      </w:r>
      <w:r>
        <w:t xml:space="preserve">| &gt; 5.45 and therefore</w:t>
      </w:r>
      <w:r>
        <w:t xml:space="preserve"> </w:t>
      </w:r>
      <w:r>
        <w:rPr>
          <w:iCs/>
          <w:i/>
        </w:rPr>
        <w:t xml:space="preserve">F</w:t>
      </w:r>
      <w:r>
        <w:t xml:space="preserve"> </w:t>
      </w:r>
      <w:r>
        <w:t xml:space="preserve">&gt; 29.7; the observed minimum was 29.7 (no weak instruments).</w:t>
      </w:r>
    </w:p>
    <w:p>
      <w:pPr>
        <w:pStyle w:val="BodyText"/>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Cs/>
          <w:i/>
        </w:rPr>
        <w:t xml:space="preserve">P</w:t>
      </w:r>
      <w:r>
        <w:t xml:space="preserve"> </w:t>
      </w:r>
      <w:r>
        <w:t xml:space="preserve">&lt; 1.965×10⁻⁵; 0.05/2,544).</w:t>
      </w:r>
    </w:p>
    <w:bookmarkEnd w:id="23"/>
    <w:bookmarkStart w:id="24" w:name="outcome-data-and-harmonization"/>
    <w:p>
      <w:pPr>
        <w:pStyle w:val="Heading3"/>
      </w:pPr>
      <w:r>
        <w:t xml:space="preserve">Outcome data and harmonization</w:t>
      </w:r>
    </w:p>
    <w:p>
      <w:pPr>
        <w:pStyle w:val="FirstParagraph"/>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pPr>
      <w:r>
        <w:t xml:space="preserve">Outcome estimates were placed on a common log-odds scale: BBJ and FinnGen were used directly, while UKB hyperthyroidism (reported on a linear mixed-model scale) was rescaled to log-odds using case prevalence before MR. Given differences in ancestry, phenotype, and effect-scale reconstruction across cohorts, cross-outcome interpretation emphasized direction, replication, and colocalization rather than exact equality of effect magnitudes.</w:t>
      </w:r>
    </w:p>
    <w:bookmarkEnd w:id="24"/>
    <w:bookmarkStart w:id="25" w:name="mendelian-randomization"/>
    <w:p>
      <w:pPr>
        <w:pStyle w:val="Heading3"/>
      </w:pPr>
      <w:r>
        <w:t xml:space="preserve">Mendelian randomization</w:t>
      </w:r>
    </w:p>
    <w:p>
      <w:pPr>
        <w:pStyle w:val="FirstParagraph"/>
      </w:pPr>
      <w:r>
        <w:t xml:space="preserve">Two-sample MR was performed for each gene against all three outcomes.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and exposure–outcome direction using the Steiger test [22] where estimable (Table S6). Discovery significance was defined at the study-wide Bonferroni threshold (</w:t>
      </w:r>
      <w:r>
        <w:rPr>
          <w:iCs/>
          <w:i/>
        </w:rPr>
        <w:t xml:space="preserve">P</w:t>
      </w:r>
      <w:r>
        <w:t xml:space="preserve"> </w:t>
      </w:r>
      <w:r>
        <w:t xml:space="preserve">&lt; 1.965×10⁻⁵; 0.05/2,544). Replication and TED-enriched support were evaluated using direction-consistent nominal association (</w:t>
      </w:r>
      <w:r>
        <w:rPr>
          <w:iCs/>
          <w:i/>
        </w:rPr>
        <w:t xml:space="preserve">P</w:t>
      </w:r>
      <w:r>
        <w:t xml:space="preserve"> </w:t>
      </w:r>
      <w:r>
        <w:t xml:space="preserve">&lt; 0.05).</w:t>
      </w:r>
    </w:p>
    <w:p>
      <w:pPr>
        <w:pStyle w:val="BodyText"/>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Cs/>
          <w:i/>
        </w:rPr>
        <w:t xml:space="preserve">z</w:t>
      </w:r>
      <w:r>
        <w:t xml:space="preserve">1−α/2 +</w:t>
      </w:r>
      <w:r>
        <w:t xml:space="preserve"> </w:t>
      </w:r>
      <w:r>
        <w:rPr>
          <w:iCs/>
          <w:i/>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25"/>
    <w:bookmarkStart w:id="26" w:name="X1edee38d501dca86da97fa75ab43b5991b95eff"/>
    <w:p>
      <w:pPr>
        <w:pStyle w:val="Heading3"/>
      </w:pPr>
      <w:r>
        <w:t xml:space="preserve">Instrument resolution at TSHR and colocalization</w:t>
      </w:r>
    </w:p>
    <w:p>
      <w:pPr>
        <w:pStyle w:val="FirstParagraph"/>
      </w:pPr>
      <w:r>
        <w:t xml:space="preserve">To test whether the single</w:t>
      </w:r>
      <w:r>
        <w:t xml:space="preserve"> </w:t>
      </w:r>
      <w:r>
        <w:rPr>
          <w:iCs/>
          <w:i/>
        </w:rPr>
        <w:t xml:space="preserve">TSHR</w:t>
      </w:r>
      <w:r>
        <w:t xml:space="preserve"> </w:t>
      </w:r>
      <w:r>
        <w:t xml:space="preserve">instrument reflected an independent locus-level signal rather than unresolved allelic heterogeneity, LD clumping at the locus was repeated across a grid of</w:t>
      </w:r>
      <w:r>
        <w:t xml:space="preserve"> </w:t>
      </w:r>
      <w:r>
        <w:rPr>
          <w:iCs/>
          <w:i/>
        </w:rPr>
        <w:t xml:space="preserve">P</w:t>
      </w:r>
      <w:r>
        <w:t xml:space="preserve">-value and</w:t>
      </w:r>
      <w:r>
        <w:t xml:space="preserve"> </w:t>
      </w:r>
      <w:r>
        <w:rPr>
          <w:iCs/>
          <w:i/>
        </w:rPr>
        <w:t xml:space="preserve">r</w:t>
      </w:r>
      <w:r>
        <w:t xml:space="preserve">² thresholds in both 1000 Genomes Phase 3 panels (European,</w:t>
      </w:r>
      <w:r>
        <w:t xml:space="preserve"> </w:t>
      </w:r>
      <w:r>
        <w:rPr>
          <w:iCs/>
          <w:i/>
        </w:rPr>
        <w:t xml:space="preserve">n</w:t>
      </w:r>
      <w:r>
        <w:t xml:space="preserve"> </w:t>
      </w:r>
      <w:r>
        <w:t xml:space="preserve">= 503; East Asian,</w:t>
      </w:r>
      <w:r>
        <w:t xml:space="preserve"> </w:t>
      </w:r>
      <w:r>
        <w:rPr>
          <w:iCs/>
          <w:i/>
        </w:rPr>
        <w:t xml:space="preserve">n</w:t>
      </w:r>
      <w:r>
        <w:t xml:space="preserve"> </w:t>
      </w:r>
      <w:r>
        <w:t xml:space="preserve">= 504). At the primary threshold (</w:t>
      </w:r>
      <w:r>
        <w:rPr>
          <w:iCs/>
          <w:i/>
        </w:rPr>
        <w:t xml:space="preserve">P</w:t>
      </w:r>
      <w:r>
        <w:t xml:space="preserve"> </w:t>
      </w:r>
      <w:r>
        <w:t xml:space="preserve">&lt; 5×10⁻⁸,</w:t>
      </w:r>
      <w:r>
        <w:t xml:space="preserve"> </w:t>
      </w:r>
      <w:r>
        <w:rPr>
          <w:iCs/>
          <w:i/>
        </w:rPr>
        <w:t xml:space="preserve">r</w:t>
      </w:r>
      <w:r>
        <w:t xml:space="preserve">² &lt; 0.001) the European panel — the one matching the eQTL data and therefore used for selection — yielded exactly one independent instrument, rs179252, which remained an index variant under every threshold tested.</w:t>
      </w:r>
      <w:r>
        <w:t xml:space="preserve"> </w:t>
      </w:r>
      <w:r>
        <w:rPr>
          <w:iCs/>
          <w:i/>
        </w:rPr>
        <w:t xml:space="preserve">TSHR</w:t>
      </w:r>
      <w:r>
        <w:t xml:space="preserve"> </w:t>
      </w:r>
      <w:r>
        <w:t xml:space="preserve">was accordingly treated as a single-instrument, locus-level anchor rather than reconstructed as a multi-instrument exposure (Table S3).</w:t>
      </w:r>
    </w:p>
    <w:p>
      <w:pPr>
        <w:pStyle w:val="BodyText"/>
      </w:pPr>
      <w:r>
        <w:t xml:space="preserve">For prioritized loci, we tested whether the</w:t>
      </w:r>
      <w:r>
        <w:t xml:space="preserve"> </w:t>
      </w:r>
      <w:r>
        <w:rPr>
          <w:iCs/>
          <w:i/>
        </w:rPr>
        <w:t xml:space="preserve">cis</w:t>
      </w:r>
      <w:r>
        <w:t xml:space="preserve">-eQTL and outcome-association signals shared a causal variant using coloc.abf [8] (coloc) within ±1 Mb of the gene, under the single-causal-variant assumption and default priors (p1 = p2 = 10⁻⁴, p12 = 10⁻⁵) [23]. In this implementation dataset 1 was the outcome GWAS and dataset 2 the</w:t>
      </w:r>
      <w:r>
        <w:t xml:space="preserve"> </w:t>
      </w:r>
      <w:r>
        <w:rPr>
          <w:iCs/>
          <w:i/>
        </w:rPr>
        <w:t xml:space="preserve">cis</w:t>
      </w:r>
      <w:r>
        <w:t xml:space="preserve">-eQTL, so the posterior probabilities distinguish association with the outcome only (H1), with the</w:t>
      </w:r>
      <w:r>
        <w:t xml:space="preserve"> </w:t>
      </w:r>
      <w:r>
        <w:rPr>
          <w:iCs/>
          <w:i/>
        </w:rPr>
        <w:t xml:space="preserve">cis</w:t>
      </w:r>
      <w:r>
        <w:t xml:space="preserve">-eQTL only (H2), with both traits at distinct causal variants (H3), and with both traits at a shared causal variant (H4). Colocalization was evaluated against each outcome from beta and varbeta with ancestry-matched allele frequencies and the case fractions in Table 1. Strong colocalization was defined as PP.H4 ≥ 0.80, with prior sensitivity at p12 = 10⁻⁶ and 5×10⁻⁶ (Tables S2, S9; Figure S2).</w:t>
      </w:r>
    </w:p>
    <w:bookmarkEnd w:id="26"/>
    <w:bookmarkStart w:id="27" w:name="orbital-tissue-transcriptomic-analysis"/>
    <w:p>
      <w:pPr>
        <w:pStyle w:val="Heading3"/>
      </w:pPr>
      <w:r>
        <w:t xml:space="preserve">Orbital tissue transcriptomic analysis</w:t>
      </w:r>
    </w:p>
    <w:p>
      <w:pPr>
        <w:pStyle w:val="FirstParagraph"/>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With one control, control-side biological variance cannot be estimated, so no differential-expression testing was performed and no</w:t>
      </w:r>
      <w:r>
        <w:t xml:space="preserve"> </w:t>
      </w:r>
      <w:r>
        <w:rPr>
          <w:iCs/>
          <w:i/>
        </w:rPr>
        <w:t xml:space="preserve">P</w:t>
      </w:r>
      <w:r>
        <w:t xml:space="preserve"> </w:t>
      </w:r>
      <w:r>
        <w:t xml:space="preserve">values are reported; abundance is described for the three backbone genes only (Figure S1). No transcriptomic catalogue, differential-expression list or pathway-enrichment result is presented, the dataset was not used for instrument selection, and it contributes to no inference here.</w:t>
      </w:r>
    </w:p>
    <w:bookmarkEnd w:id="27"/>
    <w:bookmarkStart w:id="28" w:name="software-reporting-and-data-availability"/>
    <w:p>
      <w:pPr>
        <w:pStyle w:val="Heading3"/>
      </w:pPr>
      <w:r>
        <w:t xml:space="preserve">Software, reporting, and data availability</w:t>
      </w:r>
    </w:p>
    <w:p>
      <w:pPr>
        <w:pStyle w:val="FirstParagraph"/>
      </w:pPr>
      <w:r>
        <w:t xml:space="preserve">Analyses used R 4.3.3 with TwoSampleMR (v0.7.4), ieugwasr, and coloc (v5.2.3); LD operations used PLINK v1.9. Reporting follows the STROBE-MR guideline (Table S7).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p>
      <w:r>
        <w:pict>
          <v:rect style="width:0;height:1.5pt" o:hralign="center" o:hrstd="t" o:hr="t"/>
        </w:pict>
      </w:r>
    </w:p>
    <w:bookmarkEnd w:id="28"/>
    <w:bookmarkEnd w:id="29"/>
    <w:bookmarkStart w:id="35" w:name="results"/>
    <w:p>
      <w:pPr>
        <w:pStyle w:val="Heading2"/>
      </w:pPr>
      <w:r>
        <w:t xml:space="preserve">Results</w:t>
      </w:r>
    </w:p>
    <w:bookmarkStart w:id="30" w:name="druggable-gene-wide-mr-discovery"/>
    <w:p>
      <w:pPr>
        <w:pStyle w:val="Heading3"/>
      </w:pPr>
      <w:r>
        <w:t xml:space="preserve">Druggable-gene-wide MR discovery</w:t>
      </w:r>
    </w:p>
    <w:p>
      <w:pPr>
        <w:pStyle w:val="FirstParagraph"/>
      </w:pPr>
      <w:r>
        <w:t xml:space="preserve">The attrition of the screen and the resulting contrast between the two backbone receptors are summarized in</w:t>
      </w:r>
      <w:r>
        <w:t xml:space="preserve"> </w:t>
      </w:r>
      <w:r>
        <w:rPr>
          <w:bCs/>
          <w:b/>
        </w:rPr>
        <w:t xml:space="preserve">Figure 1</w:t>
      </w:r>
      <w:r>
        <w:t xml:space="preserve">. The analysis followed the prespecified outcome hierarchy of BBJ Graves disease (discovery), UKB hyperthyroidism (replication), and FinnGen R12 Graves ophthalmopathy (TED-enriched sensitivity), with data sources in</w:t>
      </w:r>
      <w:r>
        <w:t xml:space="preserve"> </w:t>
      </w:r>
      <w:r>
        <w:rPr>
          <w:bCs/>
          <w:b/>
        </w:rPr>
        <w:t xml:space="preserve">Table 1</w:t>
      </w:r>
      <w:r>
        <w:t xml:space="preserve">.</w:t>
      </w:r>
    </w:p>
    <w:p>
      <w:pPr>
        <w:pStyle w:val="BodyText"/>
      </w:pPr>
      <w:r>
        <w:t xml:space="preserve">Of 4,462 druggable genes, 2,544 had at least one valid</w:t>
      </w:r>
      <w:r>
        <w:t xml:space="preserve"> </w:t>
      </w:r>
      <w:r>
        <w:rPr>
          <w:iCs/>
          <w:i/>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Cs/>
          <w:i/>
        </w:rPr>
        <w:t xml:space="preserve">P</w:t>
      </w:r>
      <w:r>
        <w:t xml:space="preserve"> </w:t>
      </w:r>
      <w:r>
        <w:t xml:space="preserve">&lt; 5×10⁻⁸ selection threshold;</w:t>
      </w:r>
      <w:r>
        <w:t xml:space="preserve"> </w:t>
      </w:r>
      <w:r>
        <w:rPr>
          <w:bCs/>
          <w:b/>
        </w:rPr>
        <w:t xml:space="preserve">Table S4</w:t>
      </w:r>
      <w:r>
        <w:t xml:space="preserve">). Primary MR estimates against the BBJ Graves disease discovery outcome were obtainable for 2,234 genes.</w:t>
      </w:r>
    </w:p>
    <w:p>
      <w:pPr>
        <w:pStyle w:val="BodyText"/>
      </w:pPr>
      <w:r>
        <w:t xml:space="preserve">Applying a Bonferroni threshold corrected for the MR-testable denominator (</w:t>
      </w:r>
      <w:r>
        <w:rPr>
          <w:iCs/>
          <w:i/>
        </w:rPr>
        <w:t xml:space="preserve">P</w:t>
      </w:r>
      <w:r>
        <w:t xml:space="preserve"> </w:t>
      </w:r>
      <w:r>
        <w:t xml:space="preserve">&lt; 1.965×10⁻⁵; 0.05/2,544), 13 genes reached significance in discovery (</w:t>
      </w:r>
      <w:r>
        <w:rPr>
          <w:bCs/>
          <w:b/>
        </w:rPr>
        <w:t xml:space="preserve">Figure 2</w:t>
      </w:r>
      <w:r>
        <w:t xml:space="preserve">). These hits included the established Graves disease autoantigen</w:t>
      </w:r>
      <w:r>
        <w:t xml:space="preserve"> </w:t>
      </w:r>
      <w:r>
        <w:rPr>
          <w:iCs/>
          <w:i/>
        </w:rPr>
        <w:t xml:space="preserve">TSHR</w:t>
      </w:r>
      <w:r>
        <w:t xml:space="preserve"> </w:t>
      </w:r>
      <w:r>
        <w:t xml:space="preserve">and the known autoimmune locus</w:t>
      </w:r>
      <w:r>
        <w:t xml:space="preserve"> </w:t>
      </w:r>
      <w:r>
        <w:rPr>
          <w:iCs/>
          <w:i/>
        </w:rPr>
        <w:t xml:space="preserve">CTLA4</w:t>
      </w:r>
      <w:r>
        <w:t xml:space="preserve">, both with strongly significant protective-direction estimates, together with additional loci that were carried forward for replication and colocalization-based filtering. The discovery volcano (</w:t>
      </w:r>
      <w:r>
        <w:rPr>
          <w:bCs/>
          <w:b/>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Cs/>
          <w:b/>
        </w:rPr>
        <w:t xml:space="preserve">Table 3</w:t>
      </w:r>
      <w:r>
        <w:t xml:space="preserve"> </w:t>
      </w:r>
      <w:r>
        <w:t xml:space="preserve">(with extended detail in</w:t>
      </w:r>
      <w:r>
        <w:t xml:space="preserve"> </w:t>
      </w:r>
      <w:r>
        <w:rPr>
          <w:bCs/>
          <w:b/>
        </w:rPr>
        <w:t xml:space="preserve">Table S1</w:t>
      </w:r>
      <w:r>
        <w:t xml:space="preserve">).</w:t>
      </w:r>
    </w:p>
    <w:bookmarkEnd w:id="30"/>
    <w:bookmarkStart w:id="31" w:name="Xd06e6820abe0d3ab443817f0f342bb6c6cf9bc3"/>
    <w:p>
      <w:pPr>
        <w:pStyle w:val="Heading3"/>
      </w:pPr>
      <w:r>
        <w:t xml:space="preserve">Cross-outcome classification and colocalization filtering</w:t>
      </w:r>
    </w:p>
    <w:p>
      <w:pPr>
        <w:pStyle w:val="FirstParagraph"/>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Cs/>
          <w:i/>
        </w:rPr>
        <w:t xml:space="preserve">TSHR</w:t>
      </w:r>
      <w:r>
        <w:t xml:space="preserve"> </w:t>
      </w:r>
      <w:r>
        <w:t xml:space="preserve">and</w:t>
      </w:r>
      <w:r>
        <w:t xml:space="preserve"> </w:t>
      </w:r>
      <w:r>
        <w:rPr>
          <w:iCs/>
          <w:i/>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Cs/>
          <w:i/>
        </w:rPr>
        <w:t xml:space="preserve">HSD3B7</w:t>
      </w:r>
      <w:r>
        <w:t xml:space="preserve">,</w:t>
      </w:r>
      <w:r>
        <w:t xml:space="preserve"> </w:t>
      </w:r>
      <w:r>
        <w:rPr>
          <w:iCs/>
          <w:i/>
        </w:rPr>
        <w:t xml:space="preserve">VKORC1</w:t>
      </w:r>
      <w:r>
        <w:t xml:space="preserve">, and</w:t>
      </w:r>
      <w:r>
        <w:t xml:space="preserve"> </w:t>
      </w:r>
      <w:r>
        <w:rPr>
          <w:iCs/>
          <w:i/>
        </w:rPr>
        <w:t xml:space="preserve">PRSS36</w:t>
      </w:r>
      <w:r>
        <w:t xml:space="preserve">) whose top eQTL instruments were co-located within a narrow approximately 143-kb linkage-disequilibrium window (Table S5).</w:t>
      </w:r>
    </w:p>
    <w:p>
      <w:pPr>
        <w:pStyle w:val="BodyText"/>
      </w:pPr>
      <w:r>
        <w:t xml:space="preserve">Candidate colocalization showed outcome-dependent patterns (Table S2; Figure S2).</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showed strong colocalization with the BBJ discovery signal (PP.H4 = 0.994 and 0.989, respectively), but did not colocalize with the TED-enriched outcome (PP.H4 = 0.019 for both), where the posterior instead favored an eQTL-only pattern (PP.H2 = 0.63 and 0.64): the</w:t>
      </w:r>
      <w:r>
        <w:t xml:space="preserve"> </w:t>
      </w:r>
      <w:r>
        <w:rPr>
          <w:iCs/>
          <w:i/>
        </w:rPr>
        <w:t xml:space="preserve">cis</w:t>
      </w:r>
      <w:r>
        <w:t xml:space="preserve">-eQTL signal was present, but no association with the TED outcome was detectable at these loci.</w:t>
      </w:r>
      <w:r>
        <w:t xml:space="preserve"> </w:t>
      </w:r>
      <w:r>
        <w:rPr>
          <w:iCs/>
          <w:i/>
        </w:rPr>
        <w:t xml:space="preserve">MAPKAPK5</w:t>
      </w:r>
      <w:r>
        <w:t xml:space="preserve"> </w:t>
      </w:r>
      <w:r>
        <w:t xml:space="preserve">showed a distinct-signal pattern in discovery (PP.H3 ≈ 1.0), whereas the chr16p11.2 candidates showed only weak or ambiguous colocalization in discovery (PP.H4 ≤ 0.62) and no shared colocalization support in the TED-enriched outcome, where they too showed an eQTL-only pattern (PP.H2 = 0.73–0.74).</w:t>
      </w:r>
    </w:p>
    <w:p>
      <w:pPr>
        <w:pStyle w:val="BodyText"/>
      </w:pPr>
      <w:r>
        <w:t xml:space="preserve">Overall, no non-known candidate showed strong colocalization in both BBJ Graves disease and the TED-enriched outcome. Thus, after cross-outcome colocalization filtering, no novel candidate satisfied the dual-phenotype criterion. This filtering result was retained as part of the final interpretation because it prevented overinterpretation of single-outcome or LD-driven discovery signals and strengthened the focus on the three backbone genes</w:t>
      </w:r>
      <w:r>
        <w:t xml:space="preserve"> </w:t>
      </w:r>
      <w:r>
        <w:rPr>
          <w:iCs/>
          <w:i/>
        </w:rPr>
        <w:t xml:space="preserve">TSHR</w:t>
      </w:r>
      <w:r>
        <w:t xml:space="preserve">,</w:t>
      </w:r>
      <w:r>
        <w:t xml:space="preserve"> </w:t>
      </w:r>
      <w:r>
        <w:rPr>
          <w:iCs/>
          <w:i/>
        </w:rPr>
        <w:t xml:space="preserve">IGF1R</w:t>
      </w:r>
      <w:r>
        <w:t xml:space="preserve">, and</w:t>
      </w:r>
      <w:r>
        <w:t xml:space="preserve"> </w:t>
      </w:r>
      <w:r>
        <w:rPr>
          <w:iCs/>
          <w:i/>
        </w:rPr>
        <w:t xml:space="preserve">CTLA4</w:t>
      </w:r>
      <w:r>
        <w:t xml:space="preserve">.</w:t>
      </w:r>
    </w:p>
    <w:p>
      <w:pPr>
        <w:pStyle w:val="BodyText"/>
      </w:pPr>
      <w:r>
        <w:t xml:space="preserve">The detectable range of the screen defines what this null does and does not exclude (</w:t>
      </w:r>
      <w:r>
        <w:rPr>
          <w:bCs/>
          <w:b/>
        </w:rPr>
        <w:t xml:space="preserve">Table S8</w:t>
      </w:r>
      <w:r>
        <w:t xml:space="preserve">). At the study-wide discovery threshold and 80% power, the median gene was powered to detect an odds ratio of approximately 2.55 per unit genetically proxied expression (interquartile range 1.71–5.19); 35.6% of genes were powered for OR ≥ 2.0 and 14.6% for OR ≥ 1.5. In the TED-enriched outcome at nominal significance, the corresponding median detectable OR was approximately 2.12. The screen was therefore well powered for large expression-mediated effects — consistent with its recovery of</w:t>
      </w:r>
      <w:r>
        <w:t xml:space="preserve"> </w:t>
      </w:r>
      <w:r>
        <w:rPr>
          <w:iCs/>
          <w:i/>
        </w:rPr>
        <w:t xml:space="preserve">TSHR</w:t>
      </w:r>
      <w:r>
        <w:t xml:space="preserve"> </w:t>
      </w:r>
      <w:r>
        <w:t xml:space="preserve">(β = −2.10) and</w:t>
      </w:r>
      <w:r>
        <w:t xml:space="preserve"> </w:t>
      </w:r>
      <w:r>
        <w:rPr>
          <w:iCs/>
          <w:i/>
        </w:rPr>
        <w:t xml:space="preserve">CTLA4</w:t>
      </w:r>
      <w:r>
        <w:t xml:space="preserve"> </w:t>
      </w:r>
      <w:r>
        <w:t xml:space="preserve">(β = −1.74), both of which exceeded their gene-specific detection thresholds — but not for modest effects. The absence of a qualifying novel candidate should accordingly be read as constraining additional large, expression-colocalized druggable effects, particularly among well-powered genes, rather than as excluding moderate ones, which larger GD- and TED-specific GWAS will be required to resolve.</w:t>
      </w:r>
    </w:p>
    <w:bookmarkEnd w:id="31"/>
    <w:bookmarkStart w:id="32" w:name="X3e3b2638da6e3ab8c932c509709916afd5b572e"/>
    <w:p>
      <w:pPr>
        <w:pStyle w:val="Heading3"/>
      </w:pPr>
      <w:r>
        <w:t xml:space="preserve">TSHR: an expression-colocalized susceptibility anchor</w:t>
      </w:r>
    </w:p>
    <w:p>
      <w:pPr>
        <w:pStyle w:val="FirstParagraph"/>
      </w:pPr>
      <w:r>
        <w:t xml:space="preserve">Among the established hits,</w:t>
      </w:r>
      <w:r>
        <w:t xml:space="preserve"> </w:t>
      </w:r>
      <w:r>
        <w:rPr>
          <w:iCs/>
          <w:i/>
        </w:rPr>
        <w:t xml:space="preserve">TSHR</w:t>
      </w:r>
      <w:r>
        <w:t xml:space="preserve"> </w:t>
      </w:r>
      <w:r>
        <w:t xml:space="preserve">showed the strongest convergence between the MR and colocalization layers of the framework (Table 2; Figure 3). In MR, the</w:t>
      </w:r>
      <w:r>
        <w:t xml:space="preserve"> </w:t>
      </w:r>
      <w:r>
        <w:rPr>
          <w:iCs/>
          <w:i/>
        </w:rPr>
        <w:t xml:space="preserve">TSHR</w:t>
      </w:r>
      <w:r>
        <w:t xml:space="preserve"> </w:t>
      </w:r>
      <w:r>
        <w:rPr>
          <w:iCs/>
          <w:i/>
        </w:rPr>
        <w:t xml:space="preserve">cis</w:t>
      </w:r>
      <w:r>
        <w:t xml:space="preserve">-eQTL instrument was associated with protective-direction estimates across all three outcomes: BBJ Graves disease (β = −2.10,</w:t>
      </w:r>
      <w:r>
        <w:t xml:space="preserve"> </w:t>
      </w:r>
      <w:r>
        <w:rPr>
          <w:iCs/>
          <w:i/>
        </w:rPr>
        <w:t xml:space="preserve">P</w:t>
      </w:r>
      <w:r>
        <w:t xml:space="preserve"> </w:t>
      </w:r>
      <w:r>
        <w:t xml:space="preserve">= 1.1×10⁻¹⁴), UKB hyperthyroidism (β = −2.44,</w:t>
      </w:r>
      <w:r>
        <w:t xml:space="preserve"> </w:t>
      </w:r>
      <w:r>
        <w:rPr>
          <w:iCs/>
          <w:i/>
        </w:rPr>
        <w:t xml:space="preserve">P</w:t>
      </w:r>
      <w:r>
        <w:t xml:space="preserve"> </w:t>
      </w:r>
      <w:r>
        <w:t xml:space="preserve">= 8.8×10⁻²⁸), and the TED-enriched outcome (β = −2.33,</w:t>
      </w:r>
      <w:r>
        <w:t xml:space="preserve"> </w:t>
      </w:r>
      <w:r>
        <w:rPr>
          <w:iCs/>
          <w:i/>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pPr>
      <w:r>
        <w:t xml:space="preserve">Colocalization supported a shared causal variant between</w:t>
      </w:r>
      <w:r>
        <w:t xml:space="preserve"> </w:t>
      </w:r>
      <w:r>
        <w:rPr>
          <w:iCs/>
          <w:i/>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This discordance is not attributable to limited power: UKB carried the strongest locus-wide association of the three outcomes (minimum</w:t>
      </w:r>
      <w:r>
        <w:t xml:space="preserve"> </w:t>
      </w:r>
      <w:r>
        <w:rPr>
          <w:iCs/>
          <w:i/>
        </w:rPr>
        <w:t xml:space="preserve">P</w:t>
      </w:r>
      <w:r>
        <w:t xml:space="preserve"> </w:t>
      </w:r>
      <w:r>
        <w:t xml:space="preserve">= 1.4×10⁻⁴³) and the largest set of overlapping variants. We therefore report</w:t>
      </w:r>
      <w:r>
        <w:t xml:space="preserve"> </w:t>
      </w:r>
      <w:r>
        <w:rPr>
          <w:iCs/>
          <w:i/>
        </w:rPr>
        <w:t xml:space="preserve">TSHR</w:t>
      </w:r>
      <w:r>
        <w:t xml:space="preserve"> </w:t>
      </w:r>
      <w:r>
        <w:t xml:space="preserve">colocalization as specific to the two Graves disease phenotypes rather than as a property of thyroid autoimmunity in general (Table 2).</w:t>
      </w:r>
    </w:p>
    <w:p>
      <w:pPr>
        <w:pStyle w:val="BodyText"/>
      </w:pPr>
      <w:r>
        <w:t xml:space="preserve">In the in-house orbital dataset,</w:t>
      </w:r>
      <w:r>
        <w:t xml:space="preserve"> </w:t>
      </w:r>
      <w:r>
        <w:rPr>
          <w:iCs/>
          <w:i/>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Cs/>
          <w:i/>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Cs/>
          <w:i/>
        </w:rPr>
        <w:t xml:space="preserve">TSHR</w:t>
      </w:r>
      <w:r>
        <w:t xml:space="preserve"> </w:t>
      </w:r>
      <w:r>
        <w:t xml:space="preserve">abundance in disease-state tissue is addressed in the Discussion.</w:t>
      </w:r>
    </w:p>
    <w:bookmarkEnd w:id="32"/>
    <w:bookmarkStart w:id="33" w:name="X6dee7cf910b544125566daa54a1d09f0b91dad3"/>
    <w:p>
      <w:pPr>
        <w:pStyle w:val="Heading3"/>
      </w:pPr>
      <w:r>
        <w:t xml:space="preserve">IGF1R: nominal genetic association without expression colocalization</w:t>
      </w:r>
    </w:p>
    <w:p>
      <w:pPr>
        <w:pStyle w:val="FirstParagraph"/>
      </w:pPr>
      <w:r>
        <w:t xml:space="preserve">In contrast to</w:t>
      </w:r>
      <w:r>
        <w:t xml:space="preserve"> </w:t>
      </w:r>
      <w:r>
        <w:rPr>
          <w:iCs/>
          <w:i/>
        </w:rPr>
        <w:t xml:space="preserve">TSHR</w:t>
      </w:r>
      <w:r>
        <w:t xml:space="preserve">,</w:t>
      </w:r>
      <w:r>
        <w:t xml:space="preserve"> </w:t>
      </w:r>
      <w:r>
        <w:rPr>
          <w:iCs/>
          <w:i/>
        </w:rPr>
        <w:t xml:space="preserve">IGF1R</w:t>
      </w:r>
      <w:r>
        <w:t xml:space="preserve">, the therapeutic target of teprotumumab, showed a markedly different evidence profile (Table 2; Figure 3).</w:t>
      </w:r>
      <w:r>
        <w:t xml:space="preserve"> </w:t>
      </w:r>
      <w:r>
        <w:rPr>
          <w:iCs/>
          <w:i/>
        </w:rPr>
        <w:t xml:space="preserve">IGF1R</w:t>
      </w:r>
      <w:r>
        <w:t xml:space="preserve"> </w:t>
      </w:r>
      <w:r>
        <w:t xml:space="preserve">was instrumented by multiple independent</w:t>
      </w:r>
      <w:r>
        <w:t xml:space="preserve"> </w:t>
      </w:r>
      <w:r>
        <w:rPr>
          <w:iCs/>
          <w:i/>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Cs/>
          <w:i/>
        </w:rPr>
        <w:t xml:space="preserve">P</w:t>
      </w:r>
      <w:r>
        <w:t xml:space="preserve"> </w:t>
      </w:r>
      <w:r>
        <w:t xml:space="preserve">= 0.021) and UKB hyperthyroidism (β = +0.30,</w:t>
      </w:r>
      <w:r>
        <w:t xml:space="preserve"> </w:t>
      </w:r>
      <w:r>
        <w:rPr>
          <w:iCs/>
          <w:i/>
        </w:rPr>
        <w:t xml:space="preserve">P</w:t>
      </w:r>
      <w:r>
        <w:t xml:space="preserve"> </w:t>
      </w:r>
      <w:r>
        <w:t xml:space="preserve">= 0.012); the TED-enriched estimate was directionally consistent but non-significant (β = +0.34,</w:t>
      </w:r>
      <w:r>
        <w:t xml:space="preserve"> </w:t>
      </w:r>
      <w:r>
        <w:rPr>
          <w:iCs/>
          <w:i/>
        </w:rPr>
        <w:t xml:space="preserve">P</w:t>
      </w:r>
      <w:r>
        <w:t xml:space="preserve"> </w:t>
      </w:r>
      <w:r>
        <w:t xml:space="preserve">= 0.18). Sensitivity estimators were broadly concordant in direction without evidence of directional pleiotropy, although statistical significance was not uniform across estimators, consistent with a modest effect (Table S6). The magnitude of this effect lay below the gene-specific detection threshold of the discovery screen (minimum effect detectable with 80% power at the study-wide threshold, |β| = 0.99 for</w:t>
      </w:r>
      <w:r>
        <w:t xml:space="preserve"> </w:t>
      </w:r>
      <w:r>
        <w:rPr>
          <w:iCs/>
          <w:i/>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Cs/>
          <w:i/>
        </w:rPr>
        <w:t xml:space="preserve">IGF1R</w:t>
      </w:r>
      <w:r>
        <w:t xml:space="preserve"> </w:t>
      </w:r>
      <w:r>
        <w:t xml:space="preserve">was carried forward as a backbone gene evaluated across multiple evidence layers rather than judged on discovery significance alone.</w:t>
      </w:r>
    </w:p>
    <w:p>
      <w:pPr>
        <w:pStyle w:val="BodyText"/>
      </w:pPr>
      <w:r>
        <w:t xml:space="preserve">Critically, this nominal MR signal was not accompanied by expression colocalization in any outcome. At the</w:t>
      </w:r>
      <w:r>
        <w:t xml:space="preserve"> </w:t>
      </w:r>
      <w:r>
        <w:rPr>
          <w:iCs/>
          <w:i/>
        </w:rPr>
        <w:t xml:space="preserve">IGF1R</w:t>
      </w:r>
      <w:r>
        <w:t xml:space="preserve"> </w:t>
      </w:r>
      <w:r>
        <w:t xml:space="preserve">locus the posterior never approached the shared-variant threshold — PP.H4 = 0.073 (discovery), 0.404 (replication) and 0.032 (TED-enriched) — with an eQTL-only pattern dominating in the two Graves disease phenotypes (PP.H2 = 0.69 and 0.62; Figure 3A). The locus therefore carries a well-defined</w:t>
      </w:r>
      <w:r>
        <w:t xml:space="preserve"> </w:t>
      </w:r>
      <w:r>
        <w:rPr>
          <w:iCs/>
          <w:i/>
        </w:rPr>
        <w:t xml:space="preserve">cis</w:t>
      </w:r>
      <w:r>
        <w:t xml:space="preserve">-eQTL whose signal does not resolve to a variant shared with disease association, in contrast to</w:t>
      </w:r>
      <w:r>
        <w:t xml:space="preserve"> </w:t>
      </w:r>
      <w:r>
        <w:rPr>
          <w:iCs/>
          <w:i/>
        </w:rPr>
        <w:t xml:space="preserve">TSHR</w:t>
      </w:r>
      <w:r>
        <w:t xml:space="preserve">. In orbital tissue,</w:t>
      </w:r>
      <w:r>
        <w:t xml:space="preserve"> </w:t>
      </w:r>
      <w:r>
        <w:rPr>
          <w:iCs/>
          <w:i/>
        </w:rPr>
        <w:t xml:space="preserve">IGF1R</w:t>
      </w:r>
      <w:r>
        <w:t xml:space="preserve"> </w:t>
      </w:r>
      <w:r>
        <w:t xml:space="preserve">abundance differed little between the TED samples and the control (log2 fold-change = +0.80).</w:t>
      </w:r>
    </w:p>
    <w:p>
      <w:pPr>
        <w:pStyle w:val="BodyText"/>
      </w:pPr>
      <w:r>
        <w:t xml:space="preserve">Thus,</w:t>
      </w:r>
      <w:r>
        <w:t xml:space="preserve"> </w:t>
      </w:r>
      <w:r>
        <w:rPr>
          <w:iCs/>
          <w:i/>
        </w:rPr>
        <w:t xml:space="preserve">IGF1R</w:t>
      </w:r>
      <w:r>
        <w:t xml:space="preserve"> </w:t>
      </w:r>
      <w:r>
        <w:t xml:space="preserve">showed nominal positive-direction MR evidence that was not supported by eQTL–GWAS colocalization or by significant orbital tissue upregulation. This combination distinguishes the genetic profile of</w:t>
      </w:r>
      <w:r>
        <w:t xml:space="preserve"> </w:t>
      </w:r>
      <w:r>
        <w:rPr>
          <w:iCs/>
          <w:i/>
        </w:rPr>
        <w:t xml:space="preserve">IGF1R</w:t>
      </w:r>
      <w:r>
        <w:t xml:space="preserve"> </w:t>
      </w:r>
      <w:r>
        <w:t xml:space="preserve">from that of an expression-colocalized susceptibility locus such as</w:t>
      </w:r>
      <w:r>
        <w:t xml:space="preserve"> </w:t>
      </w:r>
      <w:r>
        <w:rPr>
          <w:iCs/>
          <w:i/>
        </w:rPr>
        <w:t xml:space="preserve">TSHR</w:t>
      </w:r>
      <w:r>
        <w:t xml:space="preserve">. The interpretation of this profile—in particular its relationship to the established therapeutic role of IGF-1R blockade—is considered in the Discussion.</w:t>
      </w:r>
    </w:p>
    <w:bookmarkEnd w:id="33"/>
    <w:bookmarkStart w:id="34" w:name="Xea91494630e083bf2b9afeee02d0e5b1f5ff1a2"/>
    <w:p>
      <w:pPr>
        <w:pStyle w:val="Heading3"/>
      </w:pPr>
      <w:r>
        <w:t xml:space="preserve">CTLA4: a positive-control autoimmune locus</w:t>
      </w:r>
    </w:p>
    <w:p>
      <w:pPr>
        <w:pStyle w:val="FirstParagraph"/>
      </w:pPr>
      <w:r>
        <w:rPr>
          <w:iCs/>
          <w:i/>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Cs/>
          <w:i/>
        </w:rPr>
        <w:t xml:space="preserve">CTLA4</w:t>
      </w:r>
      <w:r>
        <w:t xml:space="preserve"> </w:t>
      </w:r>
      <w:r>
        <w:t xml:space="preserve">showed strong protective-direction MR estimates in the discovery analysis (BBJ Graves disease, β = −1.74,</w:t>
      </w:r>
      <w:r>
        <w:t xml:space="preserve"> </w:t>
      </w:r>
      <w:r>
        <w:rPr>
          <w:iCs/>
          <w:i/>
        </w:rPr>
        <w:t xml:space="preserve">P</w:t>
      </w:r>
      <w:r>
        <w:t xml:space="preserve"> </w:t>
      </w:r>
      <w:r>
        <w:t xml:space="preserve">= 5.5×10⁻¹⁵), with concordant protective-direction estimates in replication (UKB hyperthyroidism, β = −1.57,</w:t>
      </w:r>
      <w:r>
        <w:t xml:space="preserve"> </w:t>
      </w:r>
      <w:r>
        <w:rPr>
          <w:iCs/>
          <w:i/>
        </w:rPr>
        <w:t xml:space="preserve">P</w:t>
      </w:r>
      <w:r>
        <w:t xml:space="preserve"> </w:t>
      </w:r>
      <w:r>
        <w:t xml:space="preserve">= 0.002) and the TED-enriched outcome (β = −1.77,</w:t>
      </w:r>
      <w:r>
        <w:t xml:space="preserve"> </w:t>
      </w:r>
      <w:r>
        <w:rPr>
          <w:iCs/>
          <w:i/>
        </w:rPr>
        <w:t xml:space="preserve">P</w:t>
      </w:r>
      <w:r>
        <w:t xml:space="preserve"> </w:t>
      </w:r>
      <w:r>
        <w:t xml:space="preserve">= 0.012). The recovery of</w:t>
      </w:r>
      <w:r>
        <w:t xml:space="preserve"> </w:t>
      </w:r>
      <w:r>
        <w:rPr>
          <w:iCs/>
          <w:i/>
        </w:rPr>
        <w:t xml:space="preserve">CTLA4</w:t>
      </w:r>
      <w:r>
        <w:t xml:space="preserve"> </w:t>
      </w:r>
      <w:r>
        <w:t xml:space="preserve">as a strong autoimmune signal supports the sensitivity of the discovery screen.</w:t>
      </w:r>
    </w:p>
    <w:p>
      <w:pPr>
        <w:pStyle w:val="BodyText"/>
      </w:pPr>
      <w:r>
        <w:t xml:space="preserve">Colocalization at</w:t>
      </w:r>
      <w:r>
        <w:t xml:space="preserve"> </w:t>
      </w:r>
      <w:r>
        <w:rPr>
          <w:iCs/>
          <w:i/>
        </w:rPr>
        <w:t xml:space="preserve">CTLA4</w:t>
      </w:r>
      <w:r>
        <w:t xml:space="preserve"> </w:t>
      </w:r>
      <w:r>
        <w:t xml:space="preserve">was ancestry-dependent: the posterior supported a shared causal variant in both European outcomes (UKB PP.H4 = 0.953, lead rs3087243; TED-enriched PP.H4 = 0.978, lead rs1863800) but favoured distinct causal variants in the East Asian discovery outcome (PP.H3 = 0.80; Figure 3A). Together with between-instrument heterogeneity in the replication analysis (Table S6), this pattern is consistent with cross-ancestry locus complexity at</w:t>
      </w:r>
      <w:r>
        <w:t xml:space="preserve"> </w:t>
      </w:r>
      <w:r>
        <w:rPr>
          <w:iCs/>
          <w:i/>
        </w:rPr>
        <w:t xml:space="preserve">CTLA4</w:t>
      </w:r>
      <w:r>
        <w:t xml:space="preserve">. Recovery of the positive control in two of three outcomes indicates that the combined MR-plus-colocalization filter can detect a known autoimmune locus, while its failure in the discovery arm shows that detection is ancestry-dependent. In orbital tissue,</w:t>
      </w:r>
      <w:r>
        <w:t xml:space="preserve"> </w:t>
      </w:r>
      <w:r>
        <w:rPr>
          <w:iCs/>
          <w:i/>
        </w:rPr>
        <w:t xml:space="preserve">CTLA4</w:t>
      </w:r>
      <w:r>
        <w:t xml:space="preserve"> </w:t>
      </w:r>
      <w:r>
        <w:t xml:space="preserve">abundance differed little between the TED samples and the control (log2 fold-change = +1.58).</w:t>
      </w:r>
    </w:p>
    <w:p>
      <w:r>
        <w:pict>
          <v:rect style="width:0;height:1.5pt" o:hralign="center" o:hrstd="t" o:hr="t"/>
        </w:pict>
      </w:r>
    </w:p>
    <w:bookmarkEnd w:id="34"/>
    <w:bookmarkEnd w:id="35"/>
    <w:bookmarkStart w:id="36" w:name="discussion"/>
    <w:p>
      <w:pPr>
        <w:pStyle w:val="Heading2"/>
      </w:pPr>
      <w:r>
        <w:t xml:space="preserve">Discussion</w:t>
      </w:r>
    </w:p>
    <w:p>
      <w:pPr>
        <w:pStyle w:val="FirstParagraph"/>
      </w:pPr>
      <w:r>
        <w:t xml:space="preserve">We set out to distinguish genetically anchored susceptibility from pharmacologic effector biology in Graves disease (GD) and thyroid eye disease (TED). Two contrasting evidence profiles emerged.</w:t>
      </w:r>
      <w:r>
        <w:t xml:space="preserve"> </w:t>
      </w:r>
      <w:r>
        <w:rPr>
          <w:iCs/>
          <w:i/>
        </w:rPr>
        <w:t xml:space="preserve">TSHR</w:t>
      </w:r>
      <w:r>
        <w:t xml:space="preserve">, the canonical thyroid autoantigen, showed convergent support across MR and expression colocalization in both Graves disease phenotypes, supporting its role as an expression-colocalized susceptibility anchor.</w:t>
      </w:r>
      <w:r>
        <w:t xml:space="preserve"> </w:t>
      </w:r>
      <w:r>
        <w:rPr>
          <w:iCs/>
          <w:i/>
        </w:rPr>
        <w:t xml:space="preserve">IGF1R</w:t>
      </w:r>
      <w:r>
        <w:t xml:space="preserve">, the target of teprotumumab, showed directionally consistent MR evidence that reached nominal significance in discovery and replication but lacked expression colocalization in every outcome — a profile more compatible with pharmacologic effector biology than with expression-colocalized susceptibility. Across 2,544 MR-testable druggable genes, no novel candidate satisfied our dual-phenotype colocalization criterion, so the principal contribution of this work is not target discovery but the separation of susceptibility anchoring from effector biology.</w:t>
      </w:r>
    </w:p>
    <w:p>
      <w:pPr>
        <w:pStyle w:val="BodyText"/>
      </w:pPr>
      <w:r>
        <w:rPr>
          <w:iCs/>
          <w:i/>
        </w:rPr>
        <w:t xml:space="preserve">TSHR</w:t>
      </w:r>
      <w:r>
        <w:t xml:space="preserve"> </w:t>
      </w:r>
      <w:r>
        <w:t xml:space="preserve">is the central autoantigen of GD and a well-established genetic susceptibility locus [2]; a genetic association alone would therefore add little to the literature. The contribution of the present framework is not the rediscovery of</w:t>
      </w:r>
      <w:r>
        <w:t xml:space="preserve"> </w:t>
      </w:r>
      <w:r>
        <w:rPr>
          <w:iCs/>
          <w:i/>
        </w:rPr>
        <w:t xml:space="preserve">TSHR</w:t>
      </w:r>
      <w:r>
        <w:t xml:space="preserve"> </w:t>
      </w:r>
      <w:r>
        <w:t xml:space="preserve">but its resolution into a coherent expression-colocalized anchor: consistent protective-direction estimates across all three outcomes, and colocalization support for a shared signal in both Graves disease phenotypes, with rs179252 as the top-posterior variant. That resolution is phenotype-specific rather than universal — the broader hyperthyroidism outcome favours a distinct causal variant — which is itself informative, and it provides a reference profile against which other candidates, including</w:t>
      </w:r>
      <w:r>
        <w:t xml:space="preserve"> </w:t>
      </w:r>
      <w:r>
        <w:rPr>
          <w:iCs/>
          <w:i/>
        </w:rPr>
        <w:t xml:space="preserve">IGF1R</w:t>
      </w:r>
      <w:r>
        <w:t xml:space="preserve">, can be compared, in keeping with a triangulation approach that integrates evidence from methods with differing assumptions [7].</w:t>
      </w:r>
    </w:p>
    <w:p>
      <w:pPr>
        <w:pStyle w:val="BodyText"/>
      </w:pPr>
      <w:r>
        <w:t xml:space="preserve">A notable feature of the</w:t>
      </w:r>
      <w:r>
        <w:t xml:space="preserve"> </w:t>
      </w:r>
      <w:r>
        <w:rPr>
          <w:iCs/>
          <w:i/>
        </w:rPr>
        <w:t xml:space="preserve">TSHR</w:t>
      </w:r>
      <w:r>
        <w:t xml:space="preserve"> </w:t>
      </w:r>
      <w:r>
        <w:t xml:space="preserve">signal is an apparent directional mismatch: the protective-direction blood</w:t>
      </w:r>
      <w:r>
        <w:t xml:space="preserve"> </w:t>
      </w:r>
      <w:r>
        <w:rPr>
          <w:iCs/>
          <w:i/>
        </w:rPr>
        <w:t xml:space="preserve">cis</w:t>
      </w:r>
      <w:r>
        <w:t xml:space="preserve">-eQTL MR estimate indicates that genetically proxied higher blood</w:t>
      </w:r>
      <w:r>
        <w:t xml:space="preserve"> </w:t>
      </w:r>
      <w:r>
        <w:rPr>
          <w:iCs/>
          <w:i/>
        </w:rPr>
        <w:t xml:space="preserve">TSHR</w:t>
      </w:r>
      <w:r>
        <w:t xml:space="preserve"> </w:t>
      </w:r>
      <w:r>
        <w:t xml:space="preserve">expression is associated with lower disease odds, whereas</w:t>
      </w:r>
      <w:r>
        <w:t xml:space="preserve"> </w:t>
      </w:r>
      <w:r>
        <w:rPr>
          <w:iCs/>
          <w:i/>
        </w:rPr>
        <w:t xml:space="preserve">TSHR</w:t>
      </w:r>
      <w:r>
        <w:t xml:space="preserve"> </w:t>
      </w:r>
      <w:r>
        <w:t xml:space="preserve">is upregulated in TED orbital tissue. These observations operate on different biological layers and are not necessarily contradictory. The MR estimate reflects inherited</w:t>
      </w:r>
      <w:r>
        <w:t xml:space="preserve"> </w:t>
      </w:r>
      <w:r>
        <w:rPr>
          <w:iCs/>
          <w:i/>
        </w:rPr>
        <w:t xml:space="preserve">cis</w:t>
      </w:r>
      <w:r>
        <w:t xml:space="preserve">-regulatory variation captured in blood, indexing lifelong liability, whereas the orbital observation reflects local disease-state expression in already-affected tissue, where higher</w:t>
      </w:r>
      <w:r>
        <w:t xml:space="preserve"> </w:t>
      </w:r>
      <w:r>
        <w:rPr>
          <w:iCs/>
          <w:i/>
        </w:rPr>
        <w:t xml:space="preserve">TSHR</w:t>
      </w:r>
      <w:r>
        <w:t xml:space="preserve"> </w:t>
      </w:r>
      <w:r>
        <w:t xml:space="preserve">abundance may reflect remodeling, inflammatory activation, or cellular-state shifts. Because genetic regulatory effects on gene expression are frequently tissue-specific and shaped by local cell-type composition [25], a protective-direction blood</w:t>
      </w:r>
      <w:r>
        <w:t xml:space="preserve"> </w:t>
      </w:r>
      <w:r>
        <w:rPr>
          <w:iCs/>
          <w:i/>
        </w:rPr>
        <w:t xml:space="preserve">cis</w:t>
      </w:r>
      <w:r>
        <w:t xml:space="preserve">-eQTL signal [12] and a disease-state increase in orbital expression are not expected to align in sign. Accordingly, we interpret the convergence across modalities as locus-level prioritization of</w:t>
      </w:r>
      <w:r>
        <w:t xml:space="preserve"> </w:t>
      </w:r>
      <w:r>
        <w:rPr>
          <w:iCs/>
          <w:i/>
        </w:rPr>
        <w:t xml:space="preserve">TSHR</w:t>
      </w:r>
      <w:r>
        <w:t xml:space="preserve">, not as evidence that the direction of tissue expression change is itself causal for orbital disease.</w:t>
      </w:r>
    </w:p>
    <w:p>
      <w:pPr>
        <w:pStyle w:val="BodyText"/>
      </w:pPr>
      <w:r>
        <w:rPr>
          <w:iCs/>
          <w:i/>
        </w:rPr>
        <w:t xml:space="preserve">IGF1R</w:t>
      </w:r>
      <w:r>
        <w:t xml:space="preserve"> </w:t>
      </w:r>
      <w:r>
        <w:t xml:space="preserve">presented a distinct evidence profile from</w:t>
      </w:r>
      <w:r>
        <w:t xml:space="preserve"> </w:t>
      </w:r>
      <w:r>
        <w:rPr>
          <w:iCs/>
          <w:i/>
        </w:rPr>
        <w:t xml:space="preserve">TSHR</w:t>
      </w:r>
      <w:r>
        <w:t xml:space="preserve">. Although it showed nominal positive-direction MR evidence in the discovery and replication outcomes, this signal was not accompanied by expression colocalization—the posterior favored an eQTL-only pattern rather than a shared causal variant—and</w:t>
      </w:r>
      <w:r>
        <w:t xml:space="preserve"> </w:t>
      </w:r>
      <w:r>
        <w:rPr>
          <w:iCs/>
          <w:i/>
        </w:rPr>
        <w:t xml:space="preserve">IGF1R</w:t>
      </w:r>
      <w:r>
        <w:t xml:space="preserve"> </w:t>
      </w:r>
      <w:r>
        <w:t xml:space="preserve">was not significantly differentially expressed in orbital tissue. Importantly, the absence of expression colocalization is not evidence against the biological or therapeutic relevance of IGF-1R: colocalization tests one hypothesis — that a single shared causal variant links</w:t>
      </w:r>
      <w:r>
        <w:t xml:space="preserve"> </w:t>
      </w:r>
      <w:r>
        <w:rPr>
          <w:iCs/>
          <w:i/>
        </w:rPr>
        <w:t xml:space="preserve">cis</w:t>
      </w:r>
      <w:r>
        <w:t xml:space="preserve">-regulated expression to disease liability — and a gene can be a mechanistically important effector without satisfying it, particularly where its relevance is mediated through receptor signaling rather than germline expression-level regulation. We therefore read the</w:t>
      </w:r>
      <w:r>
        <w:t xml:space="preserve"> </w:t>
      </w:r>
      <w:r>
        <w:rPr>
          <w:iCs/>
          <w:i/>
        </w:rPr>
        <w:t xml:space="preserve">IGF1R</w:t>
      </w:r>
      <w:r>
        <w:t xml:space="preserve"> </w:t>
      </w:r>
      <w:r>
        <w:t xml:space="preserve">profile as more compatible with pharmacologic effector biology than with a primary expression-colocalized susceptibility anchor, an interpretation these data support indirectly rather than establish. This interpretation is compatible with the clinical efficacy of teprotumumab [3], which targets IGF-1R signaling: an effective therapeutic target need not be a primary genetic determinant of disease. The therapeutic rationale for IGF-1R blockade can be understood in relation to physical and functional crosstalk with TSHR in orbital fibroblasts [4, 5], without requiring</w:t>
      </w:r>
      <w:r>
        <w:t xml:space="preserve"> </w:t>
      </w:r>
      <w:r>
        <w:rPr>
          <w:iCs/>
          <w:i/>
        </w:rPr>
        <w:t xml:space="preserve">IGF1R</w:t>
      </w:r>
      <w:r>
        <w:t xml:space="preserve"> </w:t>
      </w:r>
      <w:r>
        <w:t xml:space="preserve">to be an independent germline susceptibility locus.</w:t>
      </w:r>
    </w:p>
    <w:p>
      <w:pPr>
        <w:pStyle w:val="BodyText"/>
      </w:pPr>
      <w:r>
        <w:t xml:space="preserve">The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illustrates a broader principle: genetic susceptibility loci and pharmacologic targets are overlapping but not identical categories, consistent with the observation that human genetic support for a target increases the likelihood of success in drug development even though not every effective target is a primary susceptibility locus [26]. That principle is already established; this study contributes a worked demonstration within a single disease area, resolving the anchor and the candidate effector side by side under the same outcome hierarchy, analytic framework, and filters. Our findings do not test whether targeting an upstream anchor would offer clinical advantages over established effector-directed therapy.</w:t>
      </w:r>
    </w:p>
    <w:p>
      <w:pPr>
        <w:pStyle w:val="BodyText"/>
      </w:pPr>
      <w:r>
        <w:t xml:space="preserve">A systematic screen of 2,544 MR-testable druggable genes advanced no novel candidate satisfying the dual-phenotype colocalization criterion, and we regard this as an informative result rather than a negative one. Several candidates were significant in the discovery outcome alone; for example,</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colocalized strongly with the BBJ Graves disease signal but failed to show shared-variant colocalization in the TED-enriched outcome, while the chromosome 16p11.2 candidates showed only weak or ambiguous colocalization within a narrow linkage-disequilibrium window. Requiring cross-outcome support and colocalization-based filtering guarded against the overinterpretation of single-outcome or LD-driven signals that can arise in large druggable-gene screens. This conservative outcome is compatible with the currently available genetic evidence, in which strong autoimmune and thyroid-specific loci are more consistently recovered than novel druggable candidates [9, 10]; it does not exclude additional contributors of smaller effect that larger TED-specific GWAS may eventually reveal.</w:t>
      </w:r>
    </w:p>
    <w:p>
      <w:pPr>
        <w:pStyle w:val="BodyText"/>
      </w:pPr>
      <w:r>
        <w:t xml:space="preserve">Several methodological features support the robustness of these conclusions: the outcome hierarchy was prespecified, so interpretation rested on cross-outcome consistency rather than any single dataset; prioritization required both direction-consistent cross-outcome association and Bayesian colocalization [8] before a non-known signal was advanced as robust; the positive-control locus</w:t>
      </w:r>
      <w:r>
        <w:t xml:space="preserve"> </w:t>
      </w:r>
      <w:r>
        <w:rPr>
          <w:iCs/>
          <w:i/>
        </w:rPr>
        <w:t xml:space="preserve">CTLA4</w:t>
      </w:r>
      <w:r>
        <w:t xml:space="preserve"> </w:t>
      </w:r>
      <w:r>
        <w:t xml:space="preserve">[24] was recovered as a strong direction-consistent signal, indicating sensitivity to known autoimmune biology; and</w:t>
      </w:r>
      <w:r>
        <w:t xml:space="preserve"> </w:t>
      </w:r>
      <w:r>
        <w:rPr>
          <w:iCs/>
          <w:i/>
        </w:rPr>
        <w:t xml:space="preserve">TSHR</w:t>
      </w:r>
      <w:r>
        <w:t xml:space="preserve"> </w:t>
      </w:r>
      <w:r>
        <w:t xml:space="preserve">instrument selection was tested across a grid of LD-clumping thresholds rather than accepted at face value, with rs179252 retained as the single independent instrument under every threshold.</w:t>
      </w:r>
    </w:p>
    <w:p>
      <w:pPr>
        <w:pStyle w:val="BodyText"/>
      </w:pPr>
      <w:r>
        <w:t xml:space="preserve">This study has several limitations. First, the instruments were blood</w:t>
      </w:r>
      <w:r>
        <w:t xml:space="preserve"> </w:t>
      </w:r>
      <w:r>
        <w:rPr>
          <w:iCs/>
          <w:i/>
        </w:rPr>
        <w:t xml:space="preserve">cis</w:t>
      </w:r>
      <w:r>
        <w:t xml:space="preserve">-eQTLs [12], which capture blood</w:t>
      </w:r>
      <w:r>
        <w:t xml:space="preserve"> </w:t>
      </w:r>
      <w:r>
        <w:rPr>
          <w:iCs/>
          <w:i/>
        </w:rPr>
        <w:t xml:space="preserve">cis</w:t>
      </w:r>
      <w:r>
        <w:t xml:space="preserve">-regulatory variation rather than local expression in orbital or thyroid tissue, and genetic regulatory effects differ substantially across tissues [25]. Second, the eQTL data were predominantly European whereas the discovery outcome was East Asian [13]; concordant effects provide a form of cross-ancestry assessment, but allele-frequency and linkage-disequilibrium differences may attenuate or bias instrument performance. Exposure effect sizes were reconstructed using 1000 Genomes European allele frequencies rather than the file distributed by eQTLGen itself; because that reconstruction enters β and its standard error, the reported effect magnitudes and detectable effect range are approximations, although each estimate’s direction and significance are set by the Z-score and are unaffected. Third, the UKB replication phenotype was broader than Graves disease and may include heterogeneous causes of hyperthyroidism. Fourth, the</w:t>
      </w:r>
      <w:r>
        <w:t xml:space="preserve"> </w:t>
      </w:r>
      <w:r>
        <w:rPr>
          <w:iCs/>
          <w:i/>
        </w:rPr>
        <w:t xml:space="preserve">TSHR</w:t>
      </w:r>
      <w:r>
        <w:t xml:space="preserve"> </w:t>
      </w:r>
      <w:r>
        <w:t xml:space="preserve">signal rested on a single instrument. Selection used the European panel, matching the predominantly European eQTL data; an ancestry-matched East Asian panel yields two independent variants at the same threshold (Table S3), so the single-instrument treatment follows from the reference panel rather than from the locus in every ancestry. Single-instrument analyses also preclude pleiotropy diagnostics such as the MR-Egger intercept, and colocalization cannot exclude that the shared variant acts through a neighbouring gene rather than through</w:t>
      </w:r>
      <w:r>
        <w:t xml:space="preserve"> </w:t>
      </w:r>
      <w:r>
        <w:rPr>
          <w:iCs/>
          <w:i/>
        </w:rPr>
        <w:t xml:space="preserve">TSHR</w:t>
      </w:r>
      <w:r>
        <w:t xml:space="preserve"> </w:t>
      </w:r>
      <w:r>
        <w:t xml:space="preserve">expression. Fifth, the TED-enriched outcome was the smallest (858 cases), limiting power for colocalization and restricting the detectable effect range (Table S8); the eQTL-only posterior pattern seen for candidate loci in that outcome is therefore consistent with insufficient power to detect an outcome association and should not be read as positive evidence for distinct causal architecture. Sixth, and more fundamentally, that outcome ascertains Graves ophthalmopathy cases among individuals with Graves disease and compares them with population controls, so its associations substantially reflect shared Graves disease susceptibility rather than liability specific to orbital involvement; consistency of the</w:t>
      </w:r>
      <w:r>
        <w:t xml:space="preserve"> </w:t>
      </w:r>
      <w:r>
        <w:rPr>
          <w:iCs/>
          <w:i/>
        </w:rPr>
        <w:t xml:space="preserve">TSHR</w:t>
      </w:r>
      <w:r>
        <w:t xml:space="preserve"> </w:t>
      </w:r>
      <w:r>
        <w:t xml:space="preserve">estimate there should be read as reproducibility of the underlying Graves disease signal, not as evidence of a TED-specific causal effect. Separating the two would require a within-Graves contrast of patients with and without orbitopathy, which available GWAS do not provide at adequate power. Seventh, coloc.abf was applied under the single-causal-variant assumption without a multi-causal-variant extension, and no formal colocalization power analysis was performed. Posteriors were also sensitive to the prior: at p12 = 10⁻⁶ the</w:t>
      </w:r>
      <w:r>
        <w:t xml:space="preserve"> </w:t>
      </w:r>
      <w:r>
        <w:rPr>
          <w:iCs/>
          <w:i/>
        </w:rPr>
        <w:t xml:space="preserve">TSHR</w:t>
      </w:r>
      <w:r>
        <w:t xml:space="preserve"> </w:t>
      </w:r>
      <w:r>
        <w:t xml:space="preserve">discovery posterior fell to 0.661 and the</w:t>
      </w:r>
      <w:r>
        <w:t xml:space="preserve"> </w:t>
      </w:r>
      <w:r>
        <w:rPr>
          <w:iCs/>
          <w:i/>
        </w:rPr>
        <w:t xml:space="preserve">CTLA4</w:t>
      </w:r>
      <w:r>
        <w:t xml:space="preserve"> </w:t>
      </w:r>
      <w:r>
        <w:t xml:space="preserve">replication posterior to 0.672, both</w:t>
      </w:r>
      <w:r>
        <w:t xml:space="preserve"> </w:t>
      </w:r>
      <w:r>
        <w:rPr>
          <w:bCs/>
          <w:b/>
        </w:rPr>
        <w:t xml:space="preserve">below</w:t>
      </w:r>
      <w:r>
        <w:t xml:space="preserve"> </w:t>
      </w:r>
      <w:r>
        <w:t xml:space="preserve">the conventional 0.80 threshold, whereas the TED-enriched</w:t>
      </w:r>
      <w:r>
        <w:t xml:space="preserve"> </w:t>
      </w:r>
      <w:r>
        <w:rPr>
          <w:iCs/>
          <w:i/>
        </w:rPr>
        <w:t xml:space="preserve">TSHR</w:t>
      </w:r>
      <w:r>
        <w:t xml:space="preserve"> </w:t>
      </w:r>
      <w:r>
        <w:t xml:space="preserve">posterior remained above it (0.875). Full sensitivity results are given in Table S9. Eighth, the framework included a single positive control, and its behaviour was ancestry-dependent:</w:t>
      </w:r>
      <w:r>
        <w:t xml:space="preserve"> </w:t>
      </w:r>
      <w:r>
        <w:rPr>
          <w:iCs/>
          <w:i/>
        </w:rPr>
        <w:t xml:space="preserve">CTLA4</w:t>
      </w:r>
      <w:r>
        <w:t xml:space="preserve"> </w:t>
      </w:r>
      <w:r>
        <w:t xml:space="preserve">colocalized in both European outcomes (PP.H4 = 0.953 and 0.978) but not in the East Asian discovery arm (PP.H3 = 0.80). The sensitivity of the combined MR-plus-colocalization filter is therefore demonstrated but not fully characterized by one control locus. Finally, the in-house orbital dataset comprises four TED samples and a single control. It cannot support differential-expression inference, was not externally replicated, and is reported as a descriptive observation only; no conclusion depends on it. These constraints should be weighed when interpreting individual estimates, but the central contrast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rests on MR and colocalization across three outcomes.</w:t>
      </w:r>
    </w:p>
    <w:p>
      <w:pPr>
        <w:pStyle w:val="BodyText"/>
      </w:pPr>
      <w:r>
        <w:t xml:space="preserve">In this druggable-gene-wide Mendelian randomization and colocalization framework,</w:t>
      </w:r>
      <w:r>
        <w:t xml:space="preserve"> </w:t>
      </w:r>
      <w:r>
        <w:rPr>
          <w:iCs/>
          <w:i/>
        </w:rPr>
        <w:t xml:space="preserve">TSHR</w:t>
      </w:r>
      <w:r>
        <w:t xml:space="preserve"> </w:t>
      </w:r>
      <w:r>
        <w:t xml:space="preserve">emerged as an expression-colocalized susceptibility anchor for GD — supported by consistent cross-outcome genetic effects and shared-variant colocalization at rs179252 — with its signal also recovered in a TED-enriched Graves ophthalmopathy outcome.</w:t>
      </w:r>
      <w:r>
        <w:t xml:space="preserve"> </w:t>
      </w:r>
      <w:r>
        <w:rPr>
          <w:iCs/>
          <w:i/>
        </w:rPr>
        <w:t xml:space="preserve">IGF1R</w:t>
      </w:r>
      <w:r>
        <w:t xml:space="preserve"> </w:t>
      </w:r>
      <w:r>
        <w:t xml:space="preserve">showed directionally consistent risk-direction estimates, nominally significant in BBJ and UKB but not FinnGen, without evidence of expression colocalization or a significant orbital tissue association. This profile is more compatible with pharmacologic effector biology than with the</w:t>
      </w:r>
      <w:r>
        <w:t xml:space="preserve"> </w:t>
      </w:r>
      <w:r>
        <w:rPr>
          <w:iCs/>
          <w:i/>
        </w:rPr>
        <w:t xml:space="preserve">TSHR</w:t>
      </w:r>
      <w:r>
        <w:t xml:space="preserve">-like expression-colocalized susceptibility architecture, although it does not establish</w:t>
      </w:r>
      <w:r>
        <w:t xml:space="preserve"> </w:t>
      </w:r>
      <w:r>
        <w:rPr>
          <w:iCs/>
          <w:i/>
        </w:rPr>
        <w:t xml:space="preserve">IGF1R</w:t>
      </w:r>
      <w:r>
        <w:t xml:space="preserve"> </w:t>
      </w:r>
      <w:r>
        <w:t xml:space="preserve">as an effector axis or exclude a modest genetic contribution. No novel druggable candidate satisfied the dual-phenotype colocalization criterion. Distinguishing susceptibility anchoring from effector biology may help interpret existing therapies and guide the genetic prioritization of future targets in GD and TED.</w:t>
      </w:r>
    </w:p>
    <w:p>
      <w:r>
        <w:pict>
          <v:rect style="width:0;height:1.5pt" o:hralign="center" o:hrstd="t" o:hr="t"/>
        </w:pict>
      </w:r>
    </w:p>
    <w:bookmarkEnd w:id="36"/>
    <w:bookmarkStart w:id="37" w:name="declarations"/>
    <w:p>
      <w:pPr>
        <w:pStyle w:val="Heading2"/>
      </w:pPr>
      <w:r>
        <w:t xml:space="preserve">Declarations</w:t>
      </w:r>
    </w:p>
    <w:p>
      <w:pPr>
        <w:pStyle w:val="FirstParagraph"/>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that they have no conflict of interest.</w:t>
      </w:r>
    </w:p>
    <w:p>
      <w:pPr>
        <w:pStyle w:val="BodyText"/>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rPr>
        <w:t xml:space="preserve">Informed consent.</w:t>
      </w:r>
      <w:r>
        <w:t xml:space="preserve"> </w:t>
      </w:r>
      <w:r>
        <w:t xml:space="preserve">Written informed consent was obtained from all individual participants included in the in-house orbital tissue study.</w:t>
      </w:r>
    </w:p>
    <w:p>
      <w:pPr>
        <w:pStyle w:val="BodyText"/>
      </w:pPr>
      <w:r>
        <w:rPr>
          <w:bCs/>
          <w:b/>
        </w:rPr>
        <w:t xml:space="preserve">Data availability.</w:t>
      </w:r>
      <w:r>
        <w:t xml:space="preserve"> </w:t>
      </w:r>
      <w:r>
        <w:t xml:space="preserve">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p>
      <w:r>
        <w:pict>
          <v:rect style="width:0;height:1.5pt" o:hralign="center" o:hrstd="t" o:hr="t"/>
        </w:pict>
      </w:r>
    </w:p>
    <w:bookmarkEnd w:id="37"/>
    <w:bookmarkStart w:id="38" w:name="references"/>
    <w:p>
      <w:pPr>
        <w:pStyle w:val="Heading2"/>
      </w:pPr>
      <w:r>
        <w:t xml:space="preserve">References</w:t>
      </w:r>
    </w:p>
    <w:p>
      <w:pPr>
        <w:numPr>
          <w:ilvl w:val="0"/>
          <w:numId w:val="1001"/>
        </w:numPr>
        <w:pStyle w:val="Compact"/>
      </w:pPr>
      <w:r>
        <w:t xml:space="preserve">Bahn RS (2010) Graves’ ophthalmopathy. N Engl J Med 362:726–738</w:t>
      </w:r>
    </w:p>
    <w:p>
      <w:pPr>
        <w:numPr>
          <w:ilvl w:val="0"/>
          <w:numId w:val="1001"/>
        </w:numPr>
        <w:pStyle w:val="Compact"/>
      </w:pPr>
      <w:r>
        <w:t xml:space="preserve">Smith TJ, Hegedüs L (2016) Graves’ disease. N Engl J Med 375:1552–1565</w:t>
      </w:r>
    </w:p>
    <w:p>
      <w:pPr>
        <w:numPr>
          <w:ilvl w:val="0"/>
          <w:numId w:val="1001"/>
        </w:numPr>
        <w:pStyle w:val="Compact"/>
      </w:pPr>
      <w:r>
        <w:t xml:space="preserve">Douglas RS, Kahaly GJ, Patel A, et al (2020) Teprotumumab for the treatment of active thyroid eye disease. N Engl J Med 382:341–352</w:t>
      </w:r>
    </w:p>
    <w:p>
      <w:pPr>
        <w:numPr>
          <w:ilvl w:val="0"/>
          <w:numId w:val="1001"/>
        </w:numPr>
        <w:pStyle w:val="Compact"/>
      </w:pPr>
      <w:r>
        <w:t xml:space="preserve">Smith TJ (2019) The insulin-like growth factor-I receptor and its role in thyroid-associated ophthalmopathy. Eye (Lond) 33:200–205</w:t>
      </w:r>
    </w:p>
    <w:p>
      <w:pPr>
        <w:numPr>
          <w:ilvl w:val="0"/>
          <w:numId w:val="1001"/>
        </w:numPr>
        <w:pStyle w:val="Compact"/>
      </w:pPr>
      <w:r>
        <w:t xml:space="preserve">Krieger CC, Boutin A, Jang D, et al (2019) Arrestin-β-1 physically scaffolds TSH and IGF1 receptors to enable crosstalk. Endocrinology 160:1468–1479</w:t>
      </w:r>
    </w:p>
    <w:p>
      <w:pPr>
        <w:numPr>
          <w:ilvl w:val="0"/>
          <w:numId w:val="1001"/>
        </w:numPr>
        <w:pStyle w:val="Compact"/>
      </w:pPr>
      <w:r>
        <w:t xml:space="preserve">Smith TJ (2019) Potential roles of CD34+ fibrocytes masquerading as orbital fibroblasts in thyroid-associated ophthalmopathy. J Clin Endocrinol Metab 104:581–594</w:t>
      </w:r>
    </w:p>
    <w:p>
      <w:pPr>
        <w:numPr>
          <w:ilvl w:val="0"/>
          <w:numId w:val="1001"/>
        </w:numPr>
        <w:pStyle w:val="Compact"/>
      </w:pPr>
      <w:r>
        <w:t xml:space="preserve">Sanderson E, Glymour MM, Holmes MV, et al (2022) Mendelian randomization. Nat Rev Methods Primers 2:6</w:t>
      </w:r>
    </w:p>
    <w:p>
      <w:pPr>
        <w:numPr>
          <w:ilvl w:val="0"/>
          <w:numId w:val="1001"/>
        </w:numPr>
        <w:pStyle w:val="Compact"/>
      </w:pPr>
      <w:r>
        <w:t xml:space="preserve">Giambartolomei C, Vukcevic D, Schadt EE, et al (2014) Bayesian test for colocalisation between pairs of genetic association studies using summary statistics. PLoS Genet 10:e1004383</w:t>
      </w:r>
    </w:p>
    <w:p>
      <w:pPr>
        <w:numPr>
          <w:ilvl w:val="0"/>
          <w:numId w:val="1001"/>
        </w:numPr>
        <w:pStyle w:val="Compact"/>
      </w:pPr>
      <w:r>
        <w:t xml:space="preserve">Ji Q, Xu H, Chen H, et al (2025) Pathogenic genes associated with immune-related genes in Graves’ disease: a multi-omics Mendelian randomization analysis. Sci Rep 15:37875</w:t>
      </w:r>
    </w:p>
    <w:p>
      <w:pPr>
        <w:numPr>
          <w:ilvl w:val="0"/>
          <w:numId w:val="1001"/>
        </w:numPr>
        <w:pStyle w:val="Compact"/>
      </w:pPr>
      <w:r>
        <w:t xml:space="preserve">Li Y, Chen L, Lin S, et al (2025) Inflammatory proteins mediate the effect of gut microbiota on Graves’ ophthalmopathy: a Mendelian randomization study. Transl Vis Sci Technol 14:34</w:t>
      </w:r>
    </w:p>
    <w:p>
      <w:pPr>
        <w:numPr>
          <w:ilvl w:val="0"/>
          <w:numId w:val="1001"/>
        </w:numPr>
        <w:pStyle w:val="Compact"/>
      </w:pPr>
      <w:r>
        <w:t xml:space="preserve">Skrivankova VW, Richmond RC, Woolf BAR, et al (2021) Strengthening the reporting of observational studies in epidemiology using Mendelian randomization: the STROBE-MR statement. JAMA 326:1614–1621</w:t>
      </w:r>
    </w:p>
    <w:p>
      <w:pPr>
        <w:numPr>
          <w:ilvl w:val="0"/>
          <w:numId w:val="1001"/>
        </w:numPr>
        <w:pStyle w:val="Compact"/>
      </w:pPr>
      <w:r>
        <w:t xml:space="preserve">Võsa U, Claringbould A, Westra HJ, et al (2021) Large-scale cis- and trans-eQTL analyses identify thousands of genetic loci and polygenic scores that regulate blood gene expression. Nat Genet 53:1300–1310</w:t>
      </w:r>
    </w:p>
    <w:p>
      <w:pPr>
        <w:numPr>
          <w:ilvl w:val="0"/>
          <w:numId w:val="1001"/>
        </w:numPr>
        <w:pStyle w:val="Compact"/>
      </w:pPr>
      <w:r>
        <w:t xml:space="preserve">Sakaue S, Kanai M, Tanigawa Y, et al (2021) A cross-population atlas of genetic associations for 220 human phenotypes. Nat Genet 53:1415–1424</w:t>
      </w:r>
    </w:p>
    <w:p>
      <w:pPr>
        <w:numPr>
          <w:ilvl w:val="0"/>
          <w:numId w:val="1001"/>
        </w:numPr>
        <w:pStyle w:val="Compact"/>
      </w:pPr>
      <w:r>
        <w:t xml:space="preserve">Dönertaş HM, Fabian DK, Valenzuela MF, et al (2021) Common genetic associations between age-related diseases. Nat Aging 1:400–412</w:t>
      </w:r>
    </w:p>
    <w:p>
      <w:pPr>
        <w:numPr>
          <w:ilvl w:val="0"/>
          <w:numId w:val="1001"/>
        </w:numPr>
        <w:pStyle w:val="Compact"/>
      </w:pPr>
      <w:r>
        <w:t xml:space="preserve">Kurki MI, Karjalainen J, Palta P, et al (2023) FinnGen provides genetic insights from a well-phenotyped isolated population. Nature 613:508–518</w:t>
      </w:r>
    </w:p>
    <w:p>
      <w:pPr>
        <w:numPr>
          <w:ilvl w:val="0"/>
          <w:numId w:val="1001"/>
        </w:numPr>
        <w:pStyle w:val="Compact"/>
      </w:pPr>
      <w:r>
        <w:t xml:space="preserve">Finan C, Gaulton A, Kruger FA, et al (2017) The druggable genome and support for target identification and validation in drug development. Sci Transl Med 9:eaag1166</w:t>
      </w:r>
    </w:p>
    <w:p>
      <w:pPr>
        <w:numPr>
          <w:ilvl w:val="0"/>
          <w:numId w:val="1001"/>
        </w:numPr>
        <w:pStyle w:val="Compact"/>
      </w:pPr>
      <w:r>
        <w:t xml:space="preserve">Wood AR, Perry JRB, Tanaka T, et al (2013) Imputation of variants from the 1000 Genomes Project modestly improves known associations and can identify low-frequency variant-phenotype associations undetected by direct genotyping. PLoS One 8:e64343</w:t>
      </w:r>
    </w:p>
    <w:p>
      <w:pPr>
        <w:numPr>
          <w:ilvl w:val="0"/>
          <w:numId w:val="1001"/>
        </w:numPr>
        <w:pStyle w:val="Compact"/>
      </w:pPr>
      <w:r>
        <w:t xml:space="preserve">Chang CC, Chow CC, Tellier LC, et al (2015) Second-generation PLINK: rising to the challenge of larger and richer datasets. Gigascience 4:7</w:t>
      </w:r>
    </w:p>
    <w:p>
      <w:pPr>
        <w:numPr>
          <w:ilvl w:val="0"/>
          <w:numId w:val="1001"/>
        </w:numPr>
        <w:pStyle w:val="Compact"/>
      </w:pPr>
      <w:r>
        <w:t xml:space="preserve">Hemani G, Zheng J, Elsworth B, et al (2018) The MR-Base platform supports systematic causal inference across the human phenome. eLife 7:e34408</w:t>
      </w:r>
    </w:p>
    <w:p>
      <w:pPr>
        <w:numPr>
          <w:ilvl w:val="0"/>
          <w:numId w:val="1001"/>
        </w:numPr>
        <w:pStyle w:val="Compact"/>
      </w:pPr>
      <w:r>
        <w:t xml:space="preserve">Bowden J, Davey Smith G, Burgess S (2015) Mendelian randomization with invalid instruments: effect estimation and bias detection through Egger regression. Int J Epidemiol 44:512–525</w:t>
      </w:r>
    </w:p>
    <w:p>
      <w:pPr>
        <w:numPr>
          <w:ilvl w:val="0"/>
          <w:numId w:val="1001"/>
        </w:numPr>
        <w:pStyle w:val="Compact"/>
      </w:pPr>
      <w:r>
        <w:t xml:space="preserve">Bowden J, Davey Smith G, Haycock PC, Burgess S (2016) Consistent estimation in Mendelian randomization with some invalid instruments using a weighted median estimator. Genet Epidemiol 40:304–314</w:t>
      </w:r>
    </w:p>
    <w:p>
      <w:pPr>
        <w:numPr>
          <w:ilvl w:val="0"/>
          <w:numId w:val="1001"/>
        </w:numPr>
        <w:pStyle w:val="Compact"/>
      </w:pPr>
      <w:r>
        <w:t xml:space="preserve">Hemani G, Tilling K, Davey Smith G (2017) Orienting the causal relationship between imprecisely measured traits using GWAS summary data. PLoS Genet 13:e1007081</w:t>
      </w:r>
    </w:p>
    <w:p>
      <w:pPr>
        <w:numPr>
          <w:ilvl w:val="0"/>
          <w:numId w:val="1001"/>
        </w:numPr>
        <w:pStyle w:val="Compact"/>
      </w:pPr>
      <w:r>
        <w:t xml:space="preserve">Wallace C (2020) Eliciting priors and relaxing the single causal variant assumption in colocalisation analyses. PLoS Genet 16:e1008720</w:t>
      </w:r>
    </w:p>
    <w:p>
      <w:pPr>
        <w:numPr>
          <w:ilvl w:val="0"/>
          <w:numId w:val="1001"/>
        </w:numPr>
        <w:pStyle w:val="Compact"/>
      </w:pPr>
      <w:r>
        <w:t xml:space="preserve">Ueda H, Howson JMM, Esposito L, et al (2003) Association of the T-cell regulatory gene CTLA4 with susceptibility to autoimmune disease. Nature 423:506–511</w:t>
      </w:r>
    </w:p>
    <w:p>
      <w:pPr>
        <w:numPr>
          <w:ilvl w:val="0"/>
          <w:numId w:val="1001"/>
        </w:numPr>
        <w:pStyle w:val="Compact"/>
      </w:pPr>
      <w:r>
        <w:t xml:space="preserve">GTEx Consortium (2020) The GTEx Consortium atlas of genetic regulatory effects across human tissues. Science 369:1318–1330</w:t>
      </w:r>
    </w:p>
    <w:p>
      <w:pPr>
        <w:numPr>
          <w:ilvl w:val="0"/>
          <w:numId w:val="1001"/>
        </w:numPr>
        <w:pStyle w:val="Compact"/>
      </w:pPr>
      <w:r>
        <w:t xml:space="preserve">Nelson MR, Tipney H, Painter JL, et al (2015) The support of human genetic evidence for approved drug indications. Nat Genet 47:856–86027. Nelson MR, Tipney H, Painter JL, et al (2015) The support of human genetic evidence for approved drug indications. Nat Genet 47:856–860</w:t>
      </w:r>
    </w:p>
    <w:p>
      <w:r>
        <w:pict>
          <v:rect style="width:0;height:1.5pt" o:hralign="center" o:hrstd="t" o:hr="t"/>
        </w:pict>
      </w:r>
    </w:p>
    <w:bookmarkEnd w:id="38"/>
    <w:bookmarkStart w:id="39" w:name="figure-legends"/>
    <w:p>
      <w:pPr>
        <w:pStyle w:val="Heading2"/>
      </w:pPr>
      <w:r>
        <w:t xml:space="preserve">Figure Legends</w:t>
      </w:r>
    </w:p>
    <w:p>
      <w:pPr>
        <w:pStyle w:val="FirstParagraph"/>
      </w:pPr>
      <w:r>
        <w:rPr>
          <w:bCs/>
          <w:b/>
        </w:rPr>
        <w:t xml:space="preserve">Figure 1. Study flow and the</w:t>
      </w:r>
      <w:r>
        <w:rPr>
          <w:bCs/>
          <w:b/>
        </w:rPr>
        <w:t xml:space="preserve"> </w:t>
      </w:r>
      <w:r>
        <w:rPr>
          <w:iCs/>
          <w:i/>
          <w:bCs/>
          <w:b/>
        </w:rPr>
        <w:t xml:space="preserve">TSHR</w:t>
      </w:r>
      <w:r>
        <w:rPr>
          <w:bCs/>
          <w:b/>
        </w:rPr>
        <w:t xml:space="preserve">–</w:t>
      </w:r>
      <w:r>
        <w:rPr>
          <w:iCs/>
          <w:i/>
          <w:bCs/>
          <w:b/>
        </w:rPr>
        <w:t xml:space="preserve">IGF1R</w:t>
      </w:r>
      <w:r>
        <w:rPr>
          <w:bCs/>
          <w:b/>
        </w:rPr>
        <w:t xml:space="preserve"> </w:t>
      </w:r>
      <w:r>
        <w:rPr>
          <w:bCs/>
          <w:b/>
        </w:rPr>
        <w:t xml:space="preserve">comparison.</w:t>
      </w:r>
      <w:r>
        <w:t xml:space="preserve"> </w:t>
      </w:r>
      <w:r>
        <w:rPr>
          <w:bCs/>
          <w:b/>
        </w:rPr>
        <w:t xml:space="preserve">(a)</w:t>
      </w:r>
      <w:r>
        <w:t xml:space="preserve"> </w:t>
      </w:r>
      <w:r>
        <w:t xml:space="preserve">Attrition from the druggable genome [16] to the thirteen genes reaching the study-wide Bonferroni threshold (</w:t>
      </w:r>
      <w:r>
        <w:rPr>
          <w:iCs/>
          <w:i/>
        </w:rPr>
        <w:t xml:space="preserve">P</w:t>
      </w:r>
      <w:r>
        <w:t xml:space="preserve"> </w:t>
      </w:r>
      <w:r>
        <w:t xml:space="preserve">&lt; 1.965 × 10⁻⁵), with exclusions at each step and the resolution of the thirteen at right. No novel candidate met the colocalization criterion.</w:t>
      </w:r>
      <w:r>
        <w:t xml:space="preserve"> </w:t>
      </w:r>
      <w:r>
        <w:rPr>
          <w:bCs/>
          <w:b/>
        </w:rPr>
        <w:t xml:space="preserve">(b)</w:t>
      </w:r>
      <w:r>
        <w:t xml:space="preserve"> </w:t>
      </w:r>
      <w:r>
        <w:t xml:space="preserve">Discovery MR estimates and colocalization posteriors for the two backbone receptors.</w:t>
      </w:r>
      <w:r>
        <w:t xml:space="preserve"> </w:t>
      </w:r>
      <w:r>
        <w:rPr>
          <w:iCs/>
          <w:i/>
        </w:rPr>
        <w:t xml:space="preserve">TSHR</w:t>
      </w:r>
      <w:r>
        <w:t xml:space="preserve"> </w:t>
      </w:r>
      <w:r>
        <w:t xml:space="preserve">shows shared-variant support in both Graves disease phenotypes;</w:t>
      </w:r>
      <w:r>
        <w:t xml:space="preserve"> </w:t>
      </w:r>
      <w:r>
        <w:rPr>
          <w:iCs/>
          <w:i/>
        </w:rPr>
        <w:t xml:space="preserve">IGF1R</w:t>
      </w:r>
      <w:r>
        <w:t xml:space="preserve"> </w:t>
      </w:r>
      <w:r>
        <w:t xml:space="preserve">in none.</w:t>
      </w:r>
    </w:p>
    <w:p>
      <w:pPr>
        <w:pStyle w:val="BodyText"/>
      </w:pPr>
      <w:r>
        <w:rPr>
          <w:bCs/>
          <w:b/>
        </w:rPr>
        <w:t xml:space="preserve">Figure 2. Discovery Mendelian randomization across the druggable genome.</w:t>
      </w:r>
      <w:r>
        <w:t xml:space="preserve"> </w:t>
      </w:r>
      <w:r>
        <w:rPr>
          <w:iCs/>
          <w:i/>
        </w:rPr>
        <w:t xml:space="preserve">Cis</w:t>
      </w:r>
      <w:r>
        <w:t xml:space="preserve">-eQTL MR effects on Biobank Japan Graves disease (log-odds) for the 2,234 genes with estimable estimates, among 2,544 MR-testable genes. The dashed line marks the Bonferroni threshold (</w:t>
      </w:r>
      <w:r>
        <w:rPr>
          <w:iCs/>
          <w:i/>
        </w:rPr>
        <w:t xml:space="preserve">P</w:t>
      </w:r>
      <w:r>
        <w:t xml:space="preserve"> </w:t>
      </w:r>
      <w:r>
        <w:t xml:space="preserve">= 1.965 × 10⁻⁵) computed against all 2,544. Thirteen genes exceed it:</w:t>
      </w:r>
      <w:r>
        <w:t xml:space="preserve"> </w:t>
      </w:r>
      <w:r>
        <w:rPr>
          <w:iCs/>
          <w:i/>
        </w:rPr>
        <w:t xml:space="preserve">TSHR</w:t>
      </w:r>
      <w:r>
        <w:t xml:space="preserve"> </w:t>
      </w:r>
      <w:r>
        <w:t xml:space="preserve">and</w:t>
      </w:r>
      <w:r>
        <w:t xml:space="preserve"> </w:t>
      </w:r>
      <w:r>
        <w:rPr>
          <w:iCs/>
          <w:i/>
        </w:rPr>
        <w:t xml:space="preserve">CTLA4</w:t>
      </w:r>
      <w:r>
        <w:t xml:space="preserve"> </w:t>
      </w:r>
      <w:r>
        <w:t xml:space="preserve">(red), five MHC-region signals (grey), three chromosome 16p11.2 variants forming one conditional signal (light purple; Table S5), and three further candidates.</w:t>
      </w:r>
      <w:r>
        <w:t xml:space="preserve"> </w:t>
      </w:r>
      <w:r>
        <w:rPr>
          <w:iCs/>
          <w:i/>
        </w:rPr>
        <w:t xml:space="preserve">IGF1R</w:t>
      </w:r>
      <w:r>
        <w:t xml:space="preserve"> </w:t>
      </w:r>
      <w:r>
        <w:t xml:space="preserve">(blue) lies below the threshold.</w:t>
      </w:r>
    </w:p>
    <w:p>
      <w:pPr>
        <w:pStyle w:val="BodyText"/>
      </w:pPr>
      <w:r>
        <w:rPr>
          <w:bCs/>
          <w:b/>
        </w:rPr>
        <w:t xml:space="preserve">Figure 3. Colocalization and MR estimates for the backbone genes.</w:t>
      </w:r>
      <w:r>
        <w:t xml:space="preserve"> </w:t>
      </w:r>
      <w:r>
        <w:rPr>
          <w:bCs/>
          <w:b/>
        </w:rPr>
        <w:t xml:space="preserve">(A)</w:t>
      </w:r>
      <w:r>
        <w:t xml:space="preserve"> </w:t>
      </w:r>
      <w:r>
        <w:t xml:space="preserve">coloc.abf posteriors against each outcome, computed from beta and varbeta with ancestry-matched allele frequencies; PP.H4 is printed above each bar and the dashed line marks 0.80.</w:t>
      </w:r>
      <w:r>
        <w:t xml:space="preserve"> </w:t>
      </w:r>
      <w:r>
        <w:rPr>
          <w:iCs/>
          <w:i/>
        </w:rPr>
        <w:t xml:space="preserve">TSHR</w:t>
      </w:r>
      <w:r>
        <w:t xml:space="preserve"> </w:t>
      </w:r>
      <w:r>
        <w:t xml:space="preserve">colocalizes in both Graves disease phenotypes but not in UKB hyperthyroidism, where distinct variants are favoured.</w:t>
      </w:r>
      <w:r>
        <w:t xml:space="preserve"> </w:t>
      </w:r>
      <w:r>
        <w:rPr>
          <w:iCs/>
          <w:i/>
        </w:rPr>
        <w:t xml:space="preserve">IGF1R</w:t>
      </w:r>
      <w:r>
        <w:t xml:space="preserve"> </w:t>
      </w:r>
      <w:r>
        <w:t xml:space="preserve">reaches the threshold in no outcome;</w:t>
      </w:r>
      <w:r>
        <w:t xml:space="preserve"> </w:t>
      </w:r>
      <w:r>
        <w:rPr>
          <w:iCs/>
          <w:i/>
        </w:rPr>
        <w:t xml:space="preserve">CTLA4</w:t>
      </w:r>
      <w:r>
        <w:t xml:space="preserve"> </w:t>
      </w:r>
      <w:r>
        <w:t xml:space="preserve">colocalizes in both European outcomes. Default prior p12 = 10⁻⁵; sensitivity in Table S9.</w:t>
      </w:r>
      <w:r>
        <w:t xml:space="preserve"> </w:t>
      </w:r>
      <w:r>
        <w:rPr>
          <w:bCs/>
          <w:b/>
        </w:rPr>
        <w:t xml:space="preserve">(B)</w:t>
      </w:r>
      <w:r>
        <w:t xml:space="preserve"> </w:t>
      </w:r>
      <w:r>
        <w:t xml:space="preserve">MR estimates (β, log-odds) with 95% confidence intervals and</w:t>
      </w:r>
      <w:r>
        <w:t xml:space="preserve"> </w:t>
      </w:r>
      <w:r>
        <w:rPr>
          <w:iCs/>
          <w:i/>
        </w:rPr>
        <w:t xml:space="preserve">P</w:t>
      </w:r>
      <w:r>
        <w:t xml:space="preserve"> </w:t>
      </w:r>
      <w:r>
        <w:t xml:space="preserve">values.</w:t>
      </w:r>
    </w:p>
    <w:p>
      <w:r>
        <w:pict>
          <v:rect style="width:0;height:1.5pt" o:hralign="center" o:hrstd="t" o:hr="t"/>
        </w:pict>
      </w:r>
    </w:p>
    <w:bookmarkEnd w:id="39"/>
    <w:bookmarkStart w:id="40" w:name="tables"/>
    <w:p>
      <w:pPr>
        <w:pStyle w:val="Heading2"/>
      </w:pPr>
      <w:r>
        <w:t xml:space="preserve">Tables</w:t>
      </w:r>
    </w:p>
    <w:p>
      <w:pPr>
        <w:pStyle w:val="FirstParagraph"/>
      </w:pPr>
      <w:r>
        <w:rPr>
          <w:bCs/>
          <w:b/>
        </w:rPr>
        <w:t xml:space="preserve">Table 1. Study design and data sources.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Dataset</w:t>
            </w:r>
          </w:p>
        </w:tc>
        <w:tc>
          <w:tcPr/>
          <w:p>
            <w:pPr>
              <w:pStyle w:val="Compact"/>
              <w:jc w:val="left"/>
            </w:pPr>
            <w:r>
              <w:t xml:space="preserve">Accession / endpoint</w:t>
            </w:r>
          </w:p>
        </w:tc>
        <w:tc>
          <w:tcPr/>
          <w:p>
            <w:pPr>
              <w:pStyle w:val="Compact"/>
              <w:jc w:val="left"/>
            </w:pPr>
            <w:r>
              <w:t xml:space="preserve">Role</w:t>
            </w:r>
          </w:p>
        </w:tc>
        <w:tc>
          <w:tcPr/>
          <w:p>
            <w:pPr>
              <w:pStyle w:val="Compact"/>
              <w:jc w:val="left"/>
            </w:pPr>
            <w:r>
              <w:t xml:space="preserve">Ancestry</w:t>
            </w:r>
          </w:p>
        </w:tc>
        <w:tc>
          <w:tcPr/>
          <w:p>
            <w:pPr>
              <w:pStyle w:val="Compact"/>
              <w:jc w:val="left"/>
            </w:pPr>
            <w:r>
              <w:t xml:space="preserve">Cases</w:t>
            </w:r>
          </w:p>
        </w:tc>
        <w:tc>
          <w:tcPr/>
          <w:p>
            <w:pPr>
              <w:pStyle w:val="Compact"/>
              <w:jc w:val="left"/>
            </w:pPr>
            <w:r>
              <w:t xml:space="preserve">Controls</w:t>
            </w:r>
          </w:p>
        </w:tc>
        <w:tc>
          <w:tcPr/>
          <w:p>
            <w:pPr>
              <w:pStyle w:val="Compact"/>
              <w:jc w:val="left"/>
            </w:pPr>
            <w:r>
              <w:t xml:space="preserve">Total</w:t>
            </w:r>
            <w:r>
              <w:t xml:space="preserve"> </w:t>
            </w:r>
            <w:r>
              <w:rPr>
                <w:iCs/>
                <w:i/>
              </w:rPr>
              <w:t xml:space="preserve">N</w:t>
            </w:r>
          </w:p>
        </w:tc>
        <w:tc>
          <w:tcPr/>
          <w:p>
            <w:pPr>
              <w:pStyle w:val="Compact"/>
              <w:jc w:val="left"/>
            </w:pPr>
            <w:r>
              <w:t xml:space="preserve">Case fraction</w:t>
            </w:r>
          </w:p>
        </w:tc>
      </w:tr>
      <w:tr>
        <w:tc>
          <w:tcPr/>
          <w:p>
            <w:pPr>
              <w:pStyle w:val="Compact"/>
              <w:jc w:val="left"/>
            </w:pPr>
            <w:r>
              <w:t xml:space="preserve">eQTLGen blood</w:t>
            </w:r>
            <w:r>
              <w:t xml:space="preserve"> </w:t>
            </w:r>
            <w:r>
              <w:rPr>
                <w:iCs/>
                <w:i/>
              </w:rPr>
              <w:t xml:space="preserve">cis</w:t>
            </w:r>
            <w:r>
              <w:t xml:space="preserve">-eQTL [12]</w:t>
            </w:r>
          </w:p>
        </w:tc>
        <w:tc>
          <w:tcPr/>
          <w:p>
            <w:pPr>
              <w:pStyle w:val="Compact"/>
              <w:jc w:val="left"/>
            </w:pPr>
            <w:r>
              <w:t xml:space="preserve">—</w:t>
            </w:r>
          </w:p>
        </w:tc>
        <w:tc>
          <w:tcPr/>
          <w:p>
            <w:pPr>
              <w:pStyle w:val="Compact"/>
              <w:jc w:val="left"/>
            </w:pPr>
            <w:r>
              <w:t xml:space="preserve">Exposure (instruments)</w:t>
            </w:r>
          </w:p>
        </w:tc>
        <w:tc>
          <w:tcPr/>
          <w:p>
            <w:pPr>
              <w:pStyle w:val="Compact"/>
              <w:jc w:val="left"/>
            </w:pPr>
            <w:r>
              <w:t xml:space="preserve">Predominantly European</w:t>
            </w:r>
          </w:p>
        </w:tc>
        <w:tc>
          <w:tcPr/>
          <w:p>
            <w:pPr>
              <w:pStyle w:val="Compact"/>
              <w:jc w:val="left"/>
            </w:pPr>
            <w:r>
              <w:t xml:space="preserve">—</w:t>
            </w:r>
          </w:p>
        </w:tc>
        <w:tc>
          <w:tcPr/>
          <w:p>
            <w:pPr>
              <w:pStyle w:val="Compact"/>
              <w:jc w:val="left"/>
            </w:pPr>
            <w:r>
              <w:t xml:space="preserve">—</w:t>
            </w:r>
          </w:p>
        </w:tc>
        <w:tc>
          <w:tcPr/>
          <w:p>
            <w:pPr>
              <w:pStyle w:val="Compact"/>
              <w:jc w:val="left"/>
            </w:pPr>
            <w:r>
              <w:t xml:space="preserve">up to 31,684</w:t>
            </w:r>
          </w:p>
        </w:tc>
        <w:tc>
          <w:tcPr/>
          <w:p>
            <w:pPr>
              <w:pStyle w:val="Compact"/>
              <w:jc w:val="left"/>
            </w:pPr>
            <w:r>
              <w:t xml:space="preserve">—</w:t>
            </w:r>
          </w:p>
        </w:tc>
      </w:tr>
      <w:tr>
        <w:tc>
          <w:tcPr/>
          <w:p>
            <w:pPr>
              <w:pStyle w:val="Compact"/>
              <w:jc w:val="left"/>
            </w:pPr>
            <w:r>
              <w:t xml:space="preserve">Biobank Japan Graves disease [13]</w:t>
            </w:r>
          </w:p>
        </w:tc>
        <w:tc>
          <w:tcPr/>
          <w:p>
            <w:pPr>
              <w:pStyle w:val="Compact"/>
              <w:jc w:val="left"/>
            </w:pPr>
            <w:r>
              <w:t xml:space="preserve">GCST90018627</w:t>
            </w:r>
          </w:p>
        </w:tc>
        <w:tc>
          <w:tcPr/>
          <w:p>
            <w:pPr>
              <w:pStyle w:val="Compact"/>
              <w:jc w:val="left"/>
            </w:pPr>
            <w:r>
              <w:t xml:space="preserve">Primary discovery outcome</w:t>
            </w:r>
          </w:p>
        </w:tc>
        <w:tc>
          <w:tcPr/>
          <w:p>
            <w:pPr>
              <w:pStyle w:val="Compact"/>
              <w:jc w:val="left"/>
            </w:pPr>
            <w:r>
              <w:t xml:space="preserve">East Asian</w:t>
            </w:r>
          </w:p>
        </w:tc>
        <w:tc>
          <w:tcPr/>
          <w:p>
            <w:pPr>
              <w:pStyle w:val="Compact"/>
              <w:jc w:val="left"/>
            </w:pPr>
            <w:r>
              <w:t xml:space="preserve">2,809</w:t>
            </w:r>
          </w:p>
        </w:tc>
        <w:tc>
          <w:tcPr/>
          <w:p>
            <w:pPr>
              <w:pStyle w:val="Compact"/>
              <w:jc w:val="left"/>
            </w:pPr>
            <w:r>
              <w:t xml:space="preserve">172,656</w:t>
            </w:r>
          </w:p>
        </w:tc>
        <w:tc>
          <w:tcPr/>
          <w:p>
            <w:pPr>
              <w:pStyle w:val="Compact"/>
              <w:jc w:val="left"/>
            </w:pPr>
            <w:r>
              <w:t xml:space="preserve">175,465</w:t>
            </w:r>
          </w:p>
        </w:tc>
        <w:tc>
          <w:tcPr/>
          <w:p>
            <w:pPr>
              <w:pStyle w:val="Compact"/>
              <w:jc w:val="left"/>
            </w:pPr>
            <w:r>
              <w:t xml:space="preserve">0.01601</w:t>
            </w:r>
          </w:p>
        </w:tc>
      </w:tr>
      <w:tr>
        <w:tc>
          <w:tcPr/>
          <w:p>
            <w:pPr>
              <w:pStyle w:val="Compact"/>
              <w:jc w:val="left"/>
            </w:pPr>
            <w:r>
              <w:t xml:space="preserve">UK Biobank hyperthyroidism [14]</w:t>
            </w:r>
          </w:p>
        </w:tc>
        <w:tc>
          <w:tcPr/>
          <w:p>
            <w:pPr>
              <w:pStyle w:val="Compact"/>
              <w:jc w:val="left"/>
            </w:pPr>
            <w:r>
              <w:t xml:space="preserve">GCST90038636</w:t>
            </w:r>
          </w:p>
        </w:tc>
        <w:tc>
          <w:tcPr/>
          <w:p>
            <w:pPr>
              <w:pStyle w:val="Compact"/>
              <w:jc w:val="left"/>
            </w:pPr>
            <w:r>
              <w:t xml:space="preserve">Cross-ancestry replication outcome</w:t>
            </w:r>
          </w:p>
        </w:tc>
        <w:tc>
          <w:tcPr/>
          <w:p>
            <w:pPr>
              <w:pStyle w:val="Compact"/>
              <w:jc w:val="left"/>
            </w:pPr>
            <w:r>
              <w:t xml:space="preserve">European</w:t>
            </w:r>
          </w:p>
        </w:tc>
        <w:tc>
          <w:tcPr/>
          <w:p>
            <w:pPr>
              <w:pStyle w:val="Compact"/>
              <w:jc w:val="left"/>
            </w:pPr>
            <w:r>
              <w:t xml:space="preserve">3,731</w:t>
            </w:r>
          </w:p>
        </w:tc>
        <w:tc>
          <w:tcPr/>
          <w:p>
            <w:pPr>
              <w:pStyle w:val="Compact"/>
              <w:jc w:val="left"/>
            </w:pPr>
            <w:r>
              <w:t xml:space="preserve">480,867</w:t>
            </w:r>
          </w:p>
        </w:tc>
        <w:tc>
          <w:tcPr/>
          <w:p>
            <w:pPr>
              <w:pStyle w:val="Compact"/>
              <w:jc w:val="left"/>
            </w:pPr>
            <w:r>
              <w:t xml:space="preserve">484,598</w:t>
            </w:r>
          </w:p>
        </w:tc>
        <w:tc>
          <w:tcPr/>
          <w:p>
            <w:pPr>
              <w:pStyle w:val="Compact"/>
              <w:jc w:val="left"/>
            </w:pPr>
            <w:r>
              <w:t xml:space="preserve">0.00770</w:t>
            </w:r>
          </w:p>
        </w:tc>
      </w:tr>
      <w:tr>
        <w:tc>
          <w:tcPr/>
          <w:p>
            <w:pPr>
              <w:pStyle w:val="Compact"/>
              <w:jc w:val="left"/>
            </w:pPr>
            <w:r>
              <w:t xml:space="preserve">FinnGen R12 Graves ophthalmopathy [15]</w:t>
            </w:r>
          </w:p>
        </w:tc>
        <w:tc>
          <w:tcPr/>
          <w:p>
            <w:pPr>
              <w:pStyle w:val="Compact"/>
              <w:jc w:val="left"/>
            </w:pPr>
            <w:r>
              <w:t xml:space="preserve">GRAVES_OPHT (R12)</w:t>
            </w:r>
          </w:p>
        </w:tc>
        <w:tc>
          <w:tcPr/>
          <w:p>
            <w:pPr>
              <w:pStyle w:val="Compact"/>
              <w:jc w:val="left"/>
            </w:pPr>
            <w:r>
              <w:t xml:space="preserve">TED-enriched sensitivity outcome</w:t>
            </w:r>
          </w:p>
        </w:tc>
        <w:tc>
          <w:tcPr/>
          <w:p>
            <w:pPr>
              <w:pStyle w:val="Compact"/>
              <w:jc w:val="left"/>
            </w:pPr>
            <w:r>
              <w:t xml:space="preserve">European</w:t>
            </w:r>
          </w:p>
        </w:tc>
        <w:tc>
          <w:tcPr/>
          <w:p>
            <w:pPr>
              <w:pStyle w:val="Compact"/>
              <w:jc w:val="left"/>
            </w:pPr>
            <w:r>
              <w:t xml:space="preserve">858</w:t>
            </w:r>
          </w:p>
        </w:tc>
        <w:tc>
          <w:tcPr/>
          <w:p>
            <w:pPr>
              <w:pStyle w:val="Compact"/>
              <w:jc w:val="left"/>
            </w:pPr>
            <w:r>
              <w:t xml:space="preserve">499,490</w:t>
            </w:r>
          </w:p>
        </w:tc>
        <w:tc>
          <w:tcPr/>
          <w:p>
            <w:pPr>
              <w:pStyle w:val="Compact"/>
              <w:jc w:val="left"/>
            </w:pPr>
            <w:r>
              <w:t xml:space="preserve">500,348</w:t>
            </w:r>
          </w:p>
        </w:tc>
        <w:tc>
          <w:tcPr/>
          <w:p>
            <w:pPr>
              <w:pStyle w:val="Compact"/>
              <w:jc w:val="left"/>
            </w:pPr>
            <w:r>
              <w:t xml:space="preserve">0.00171</w:t>
            </w:r>
          </w:p>
        </w:tc>
      </w:tr>
      <w:tr>
        <w:tc>
          <w:tcPr/>
          <w:p>
            <w:pPr>
              <w:pStyle w:val="Compact"/>
              <w:jc w:val="left"/>
            </w:pPr>
            <w:r>
              <w:t xml:space="preserve">In-house orbital RNA-seq</w:t>
            </w:r>
          </w:p>
        </w:tc>
        <w:tc>
          <w:tcPr/>
          <w:p>
            <w:pPr>
              <w:pStyle w:val="Compact"/>
              <w:jc w:val="left"/>
            </w:pPr>
            <w:r>
              <w:t xml:space="preserve">—</w:t>
            </w:r>
          </w:p>
        </w:tc>
        <w:tc>
          <w:tcPr/>
          <w:p>
            <w:pPr>
              <w:pStyle w:val="Compact"/>
              <w:jc w:val="left"/>
            </w:pPr>
            <w:r>
              <w:t xml:space="preserve">Descriptive tissue observation</w:t>
            </w:r>
          </w:p>
        </w:tc>
        <w:tc>
          <w:tcPr/>
          <w:p>
            <w:pPr>
              <w:pStyle w:val="Compact"/>
              <w:jc w:val="left"/>
            </w:pPr>
            <w:r>
              <w:t xml:space="preserve">Korean</w:t>
            </w:r>
          </w:p>
        </w:tc>
        <w:tc>
          <w:tcPr/>
          <w:p>
            <w:pPr>
              <w:pStyle w:val="Compact"/>
              <w:jc w:val="left"/>
            </w:pPr>
            <w:r>
              <w:t xml:space="preserve">4 TED</w:t>
            </w:r>
          </w:p>
        </w:tc>
        <w:tc>
          <w:tcPr/>
          <w:p>
            <w:pPr>
              <w:pStyle w:val="Compact"/>
              <w:jc w:val="left"/>
            </w:pPr>
            <w:r>
              <w:t xml:space="preserve">1 control</w:t>
            </w:r>
          </w:p>
        </w:tc>
        <w:tc>
          <w:tcPr/>
          <w:p>
            <w:pPr>
              <w:pStyle w:val="Compact"/>
              <w:jc w:val="left"/>
            </w:pPr>
            <w:r>
              <w:t xml:space="preserve">5</w:t>
            </w:r>
          </w:p>
        </w:tc>
        <w:tc>
          <w:tcPr/>
          <w:p>
            <w:pPr>
              <w:pStyle w:val="Compact"/>
              <w:jc w:val="left"/>
            </w:pPr>
            <w:r>
              <w:t xml:space="preserve">—</w:t>
            </w:r>
          </w:p>
        </w:tc>
      </w:tr>
    </w:tbl>
    <w:p>
      <w:pPr>
        <w:pStyle w:val="BodyText"/>
      </w:pPr>
      <w:r>
        <w:rPr>
          <w:iCs/>
          <w:i/>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pPr>
      <w:r>
        <w:rPr>
          <w:bCs/>
          <w:b/>
        </w:rPr>
        <w:t xml:space="preserve">Table 2. Mendelian randomization and colocalization evidence for the backbone genes.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IVW/Wald</w:t>
            </w:r>
            <w:r>
              <w:t xml:space="preserve"> </w:t>
            </w:r>
            <w:r>
              <w:rPr>
                <w:iCs/>
                <w:i/>
              </w:rPr>
              <w:t xml:space="preserve">P</w:t>
            </w:r>
          </w:p>
        </w:tc>
        <w:tc>
          <w:tcPr/>
          <w:p>
            <w:pPr>
              <w:pStyle w:val="Compact"/>
              <w:jc w:val="left"/>
            </w:pPr>
            <w:r>
              <w:t xml:space="preserve">Weighted median</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c>
          <w:tcPr/>
          <w:p>
            <w:pPr>
              <w:pStyle w:val="Compact"/>
              <w:jc w:val="left"/>
            </w:pPr>
            <w:r>
              <w:t xml:space="preserve">Coloc PP.H4</w:t>
            </w:r>
          </w:p>
        </w:tc>
        <w:tc>
          <w:tcPr/>
          <w:p>
            <w:pPr>
              <w:pStyle w:val="Compact"/>
              <w:jc w:val="left"/>
            </w:pPr>
            <w:r>
              <w:t xml:space="preserve">Coloc PP.H3</w:t>
            </w:r>
          </w:p>
        </w:tc>
        <w:tc>
          <w:tcPr/>
          <w:p>
            <w:pPr>
              <w:pStyle w:val="Compact"/>
              <w:jc w:val="left"/>
            </w:pPr>
            <w:r>
              <w:t xml:space="preserve">Coloc lead SNP</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0.951</w:t>
            </w:r>
          </w:p>
        </w:tc>
        <w:tc>
          <w:tcPr/>
          <w:p>
            <w:pPr>
              <w:pStyle w:val="Compact"/>
              <w:jc w:val="left"/>
            </w:pPr>
            <w:r>
              <w:t xml:space="preserve">0.049</w:t>
            </w:r>
          </w:p>
        </w:tc>
        <w:tc>
          <w:tcPr/>
          <w:p>
            <w:pPr>
              <w:pStyle w:val="Compact"/>
              <w:jc w:val="left"/>
            </w:pPr>
            <w:r>
              <w:t xml:space="preserve">rs179252</w:t>
            </w:r>
          </w:p>
        </w:tc>
      </w:tr>
      <w:tr>
        <w:tc>
          <w:tcPr/>
          <w:p>
            <w:pPr>
              <w:pStyle w:val="Compact"/>
            </w:pP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0.09 (0.06–0.14)</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0.226</w:t>
            </w:r>
          </w:p>
        </w:tc>
        <w:tc>
          <w:tcPr/>
          <w:p>
            <w:pPr>
              <w:pStyle w:val="Compact"/>
              <w:jc w:val="left"/>
            </w:pPr>
            <w:r>
              <w:t xml:space="preserve">0.774</w:t>
            </w:r>
          </w:p>
        </w:tc>
        <w:tc>
          <w:tcPr/>
          <w:p>
            <w:pPr>
              <w:pStyle w:val="Compact"/>
              <w:jc w:val="left"/>
            </w:pPr>
            <w:r>
              <w:t xml:space="preserve">rs1023586</w:t>
            </w:r>
          </w:p>
        </w:tc>
      </w:tr>
      <w:tr>
        <w:tc>
          <w:tcPr/>
          <w:p>
            <w:pPr>
              <w:pStyle w:val="Compact"/>
            </w:pP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0.10 (0.04–0.24)</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0.986</w:t>
            </w:r>
          </w:p>
        </w:tc>
        <w:tc>
          <w:tcPr/>
          <w:p>
            <w:pPr>
              <w:pStyle w:val="Compact"/>
              <w:jc w:val="left"/>
            </w:pPr>
            <w:r>
              <w:t xml:space="preserve">0.014</w:t>
            </w:r>
          </w:p>
        </w:tc>
        <w:tc>
          <w:tcPr/>
          <w:p>
            <w:pPr>
              <w:pStyle w:val="Compact"/>
              <w:jc w:val="left"/>
            </w:pPr>
            <w:r>
              <w:t xml:space="preserve">rs179252</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1.56 (1.07–2.28)</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0.663</w:t>
            </w:r>
          </w:p>
        </w:tc>
        <w:tc>
          <w:tcPr/>
          <w:p>
            <w:pPr>
              <w:pStyle w:val="Compact"/>
              <w:jc w:val="left"/>
            </w:pPr>
            <w:r>
              <w:t xml:space="preserve">0.902</w:t>
            </w:r>
          </w:p>
        </w:tc>
        <w:tc>
          <w:tcPr/>
          <w:p>
            <w:pPr>
              <w:pStyle w:val="Compact"/>
              <w:jc w:val="left"/>
            </w:pPr>
            <w:r>
              <w:t xml:space="preserve">0.073</w:t>
            </w:r>
          </w:p>
        </w:tc>
        <w:tc>
          <w:tcPr/>
          <w:p>
            <w:pPr>
              <w:pStyle w:val="Compact"/>
              <w:jc w:val="left"/>
            </w:pPr>
            <w:r>
              <w:t xml:space="preserve">0.236</w:t>
            </w:r>
          </w:p>
        </w:tc>
        <w:tc>
          <w:tcPr/>
          <w:p>
            <w:pPr>
              <w:pStyle w:val="Compact"/>
              <w:jc w:val="left"/>
            </w:pPr>
            <w:r>
              <w:t xml:space="preserve">rs2654980</w:t>
            </w:r>
          </w:p>
        </w:tc>
      </w:tr>
      <w:tr>
        <w:tc>
          <w:tcPr/>
          <w:p>
            <w:pPr>
              <w:pStyle w:val="Compact"/>
            </w:pP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1.35 (1.07–1.70)</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0.562</w:t>
            </w:r>
          </w:p>
        </w:tc>
        <w:tc>
          <w:tcPr/>
          <w:p>
            <w:pPr>
              <w:pStyle w:val="Compact"/>
              <w:jc w:val="left"/>
            </w:pPr>
            <w:r>
              <w:t xml:space="preserve">0.250</w:t>
            </w:r>
          </w:p>
        </w:tc>
        <w:tc>
          <w:tcPr/>
          <w:p>
            <w:pPr>
              <w:pStyle w:val="Compact"/>
              <w:jc w:val="left"/>
            </w:pPr>
            <w:r>
              <w:t xml:space="preserve">0.404</w:t>
            </w:r>
          </w:p>
        </w:tc>
        <w:tc>
          <w:tcPr/>
          <w:p>
            <w:pPr>
              <w:pStyle w:val="Compact"/>
              <w:jc w:val="left"/>
            </w:pPr>
            <w:r>
              <w:t xml:space="preserve">0.196</w:t>
            </w:r>
          </w:p>
        </w:tc>
        <w:tc>
          <w:tcPr/>
          <w:p>
            <w:pPr>
              <w:pStyle w:val="Compact"/>
              <w:jc w:val="left"/>
            </w:pPr>
            <w:r>
              <w:t xml:space="preserve">rs2654980</w:t>
            </w:r>
          </w:p>
        </w:tc>
      </w:tr>
      <w:tr>
        <w:tc>
          <w:tcPr/>
          <w:p>
            <w:pPr>
              <w:pStyle w:val="Compact"/>
            </w:pP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1.41 (0.85–2.33)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0.433</w:t>
            </w:r>
          </w:p>
        </w:tc>
        <w:tc>
          <w:tcPr/>
          <w:p>
            <w:pPr>
              <w:pStyle w:val="Compact"/>
              <w:jc w:val="left"/>
            </w:pPr>
            <w:r>
              <w:t xml:space="preserve">0.309</w:t>
            </w:r>
          </w:p>
        </w:tc>
        <w:tc>
          <w:tcPr/>
          <w:p>
            <w:pPr>
              <w:pStyle w:val="Compact"/>
              <w:jc w:val="left"/>
            </w:pPr>
            <w:r>
              <w:t xml:space="preserve">0.032</w:t>
            </w:r>
          </w:p>
        </w:tc>
        <w:tc>
          <w:tcPr/>
          <w:p>
            <w:pPr>
              <w:pStyle w:val="Compact"/>
              <w:jc w:val="left"/>
            </w:pPr>
            <w:r>
              <w:t xml:space="preserve">0.346</w:t>
            </w:r>
          </w:p>
        </w:tc>
        <w:tc>
          <w:tcPr/>
          <w:p>
            <w:pPr>
              <w:pStyle w:val="Compact"/>
              <w:jc w:val="left"/>
            </w:pPr>
            <w:r>
              <w:t xml:space="preserve">rs2654980</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NA (single IV)</w:t>
            </w:r>
          </w:p>
        </w:tc>
        <w:tc>
          <w:tcPr/>
          <w:p>
            <w:pPr>
              <w:pStyle w:val="Compact"/>
              <w:jc w:val="left"/>
            </w:pPr>
            <w:r>
              <w:t xml:space="preserve">0.201</w:t>
            </w:r>
          </w:p>
        </w:tc>
        <w:tc>
          <w:tcPr/>
          <w:p>
            <w:pPr>
              <w:pStyle w:val="Compact"/>
              <w:jc w:val="left"/>
            </w:pPr>
            <w:r>
              <w:t xml:space="preserve">0.799</w:t>
            </w:r>
          </w:p>
        </w:tc>
        <w:tc>
          <w:tcPr/>
          <w:p>
            <w:pPr>
              <w:pStyle w:val="Compact"/>
              <w:jc w:val="left"/>
            </w:pPr>
            <w:r>
              <w:t xml:space="preserve">rs231811</w:t>
            </w:r>
          </w:p>
        </w:tc>
      </w:tr>
      <w:tr>
        <w:tc>
          <w:tcPr/>
          <w:p>
            <w:pPr>
              <w:pStyle w:val="Compact"/>
            </w:pP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0.21 (0.08–0.57)</w:t>
            </w:r>
          </w:p>
        </w:tc>
        <w:tc>
          <w:tcPr/>
          <w:p>
            <w:pPr>
              <w:pStyle w:val="Compact"/>
              <w:jc w:val="left"/>
            </w:pPr>
            <w:r>
              <w:t xml:space="preserve">0.002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0.001</w:t>
            </w:r>
          </w:p>
        </w:tc>
        <w:tc>
          <w:tcPr/>
          <w:p>
            <w:pPr>
              <w:pStyle w:val="Compact"/>
              <w:jc w:val="left"/>
            </w:pPr>
            <w:r>
              <w:t xml:space="preserve">0.953</w:t>
            </w:r>
          </w:p>
        </w:tc>
        <w:tc>
          <w:tcPr/>
          <w:p>
            <w:pPr>
              <w:pStyle w:val="Compact"/>
              <w:jc w:val="left"/>
            </w:pPr>
            <w:r>
              <w:t xml:space="preserve">0.047</w:t>
            </w:r>
          </w:p>
        </w:tc>
        <w:tc>
          <w:tcPr/>
          <w:p>
            <w:pPr>
              <w:pStyle w:val="Compact"/>
              <w:jc w:val="left"/>
            </w:pPr>
            <w:r>
              <w:t xml:space="preserve">rs3087243</w:t>
            </w:r>
          </w:p>
        </w:tc>
      </w:tr>
      <w:tr>
        <w:tc>
          <w:tcPr/>
          <w:p>
            <w:pPr>
              <w:pStyle w:val="Compact"/>
            </w:pP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0.17 (0.04–0.68)</w:t>
            </w:r>
          </w:p>
        </w:tc>
        <w:tc>
          <w:tcPr/>
          <w:p>
            <w:pPr>
              <w:pStyle w:val="Compact"/>
              <w:jc w:val="left"/>
            </w:pPr>
            <w:r>
              <w:t xml:space="preserve">0.012</w:t>
            </w:r>
          </w:p>
        </w:tc>
        <w:tc>
          <w:tcPr/>
          <w:p>
            <w:pPr>
              <w:pStyle w:val="Compact"/>
              <w:jc w:val="left"/>
            </w:pPr>
            <w:r>
              <w:t xml:space="preserve">—</w:t>
            </w:r>
          </w:p>
        </w:tc>
        <w:tc>
          <w:tcPr/>
          <w:p>
            <w:pPr>
              <w:pStyle w:val="Compact"/>
              <w:jc w:val="left"/>
            </w:pPr>
            <w:r>
              <w:t xml:space="preserve">NA (2 IV)</w:t>
            </w:r>
          </w:p>
        </w:tc>
        <w:tc>
          <w:tcPr/>
          <w:p>
            <w:pPr>
              <w:pStyle w:val="Compact"/>
              <w:jc w:val="left"/>
            </w:pPr>
            <w:r>
              <w:t xml:space="preserve">0.049</w:t>
            </w:r>
          </w:p>
        </w:tc>
        <w:tc>
          <w:tcPr/>
          <w:p>
            <w:pPr>
              <w:pStyle w:val="Compact"/>
              <w:jc w:val="left"/>
            </w:pPr>
            <w:r>
              <w:t xml:space="preserve">0.978</w:t>
            </w:r>
          </w:p>
        </w:tc>
        <w:tc>
          <w:tcPr/>
          <w:p>
            <w:pPr>
              <w:pStyle w:val="Compact"/>
              <w:jc w:val="left"/>
            </w:pPr>
            <w:r>
              <w:t xml:space="preserve">0.022</w:t>
            </w:r>
          </w:p>
        </w:tc>
        <w:tc>
          <w:tcPr/>
          <w:p>
            <w:pPr>
              <w:pStyle w:val="Compact"/>
              <w:jc w:val="left"/>
            </w:pPr>
            <w:r>
              <w:t xml:space="preserve">rs1863800</w:t>
            </w:r>
          </w:p>
        </w:tc>
      </w:tr>
    </w:tbl>
    <w:p>
      <w:pPr>
        <w:pStyle w:val="BodyText"/>
      </w:pPr>
      <w:r>
        <w:rPr>
          <w:iCs/>
          <w:i/>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The MR-Egger intercept P values for IGF1R (all &gt; 0.43) indicate no detectable directional pleiotropy; Cochran’s Q indicates significant between-instrument heterogeneity for CTLA4 in the UKB and FinnGen analyses (Q P = 0.001 and 0.049), consistent with cross-ancestry/phenotype locus complexity. Colocalization (coloc.abf) used beta and varbeta with ancestry-matched allele frequencies and the case fractions given in Table 1; PP.H4 ≥ 0.80 indicates strong evidence for a shared causal variant and PP.H3 evidence for distinct causal variants. IGF1R is PP.H2-dominant in both Graves disease phenotypes (PP.H2 = 0.69 and 0.62), i.e. a cis-eQTL signal that does not resolve to a variant shared with the outcome; because colocalization tests only the shared-causal-variant hypothesis, this does not contradict the nominal MR association reported above. Posteriors shown are at the default prior p12 = 10⁻⁵; sensitivity at p12 = 10⁻⁶ and 5×10⁻⁶ is reported in Table S9 (backbone) and Table S2 (candidates). —, not applicable/not computed. All values verified against source analysis files.</w:t>
      </w:r>
    </w:p>
    <w:p>
      <w:pPr>
        <w:pStyle w:val="BodyText"/>
      </w:pPr>
      <w:r>
        <w:rPr>
          <w:bCs/>
          <w:b/>
        </w:rPr>
        <w:t xml:space="preserve">Table 3. All thirteen Bonferroni-significant druggable-gene-wide BBJ discovery hits, with cross-outcome colocalization and classification.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N IV</w:t>
            </w:r>
          </w:p>
        </w:tc>
        <w:tc>
          <w:tcPr/>
          <w:p>
            <w:pPr>
              <w:pStyle w:val="Compact"/>
              <w:jc w:val="left"/>
            </w:pPr>
            <w:r>
              <w:t xml:space="preserve">OR (95% CI)</w:t>
            </w:r>
          </w:p>
        </w:tc>
        <w:tc>
          <w:tcPr/>
          <w:p>
            <w:pPr>
              <w:pStyle w:val="Compact"/>
              <w:jc w:val="left"/>
            </w:pPr>
            <w:r>
              <w:t xml:space="preserve">BBJ</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4</w:t>
            </w:r>
          </w:p>
        </w:tc>
        <w:tc>
          <w:tcPr/>
          <w:p>
            <w:pPr>
              <w:pStyle w:val="Compact"/>
              <w:jc w:val="left"/>
            </w:pPr>
            <w:r>
              <w:t xml:space="preserve">1.98 (1.73–2.27)</w:t>
            </w:r>
          </w:p>
        </w:tc>
        <w:tc>
          <w:tcPr/>
          <w:p>
            <w:pPr>
              <w:pStyle w:val="Compact"/>
              <w:jc w:val="left"/>
            </w:pPr>
            <w:r>
              <w:t xml:space="preserve">2.6×10⁻²³</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1</w:t>
            </w:r>
          </w:p>
        </w:tc>
        <w:tc>
          <w:tcPr/>
          <w:p>
            <w:pPr>
              <w:pStyle w:val="Compact"/>
              <w:jc w:val="left"/>
            </w:pPr>
            <w:r>
              <w:t xml:space="preserve">2.39 (1.95–2.93)</w:t>
            </w:r>
          </w:p>
        </w:tc>
        <w:tc>
          <w:tcPr/>
          <w:p>
            <w:pPr>
              <w:pStyle w:val="Compact"/>
              <w:jc w:val="left"/>
            </w:pPr>
            <w:r>
              <w:t xml:space="preserve">8.3×10⁻¹⁷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bCs/>
                <w:b/>
              </w:rPr>
              <w:t xml:space="preserve">CTLA4</w:t>
            </w:r>
          </w:p>
        </w:tc>
        <w:tc>
          <w:tcPr/>
          <w:p>
            <w:pPr>
              <w:pStyle w:val="Compact"/>
              <w:jc w:val="left"/>
            </w:pPr>
            <w:r>
              <w:t xml:space="preserve">1</w:t>
            </w:r>
          </w:p>
        </w:tc>
        <w:tc>
          <w:tcPr/>
          <w:p>
            <w:pPr>
              <w:pStyle w:val="Compact"/>
              <w:jc w:val="left"/>
            </w:pPr>
            <w:r>
              <w:t xml:space="preserve">0.18 (0.11–0.27)</w:t>
            </w:r>
          </w:p>
        </w:tc>
        <w:tc>
          <w:tcPr/>
          <w:p>
            <w:pPr>
              <w:pStyle w:val="Compact"/>
              <w:jc w:val="left"/>
            </w:pPr>
            <w:r>
              <w:t xml:space="preserve">5.5×10⁻¹⁵</w:t>
            </w:r>
          </w:p>
        </w:tc>
        <w:tc>
          <w:tcPr/>
          <w:p>
            <w:pPr>
              <w:pStyle w:val="Compact"/>
              <w:jc w:val="left"/>
            </w:pPr>
            <w:r>
              <w:t xml:space="preserve">0.201</w:t>
            </w:r>
          </w:p>
        </w:tc>
        <w:tc>
          <w:tcPr/>
          <w:p>
            <w:pPr>
              <w:pStyle w:val="Compact"/>
              <w:jc w:val="left"/>
            </w:pPr>
            <w:r>
              <w:t xml:space="preserve">0.953</w:t>
            </w:r>
          </w:p>
        </w:tc>
        <w:tc>
          <w:tcPr/>
          <w:p>
            <w:pPr>
              <w:pStyle w:val="Compact"/>
              <w:jc w:val="left"/>
            </w:pPr>
            <w:r>
              <w:t xml:space="preserve">0.978</w:t>
            </w:r>
          </w:p>
        </w:tc>
        <w:tc>
          <w:tcPr/>
          <w:p>
            <w:pPr>
              <w:pStyle w:val="Compact"/>
              <w:jc w:val="left"/>
            </w:pPr>
            <w:r>
              <w:t xml:space="preserve">Established autoimmune locus (positive control)</w:t>
            </w:r>
          </w:p>
        </w:tc>
      </w:tr>
      <w:tr>
        <w:tc>
          <w:tcPr/>
          <w:p>
            <w:pPr>
              <w:pStyle w:val="Compact"/>
              <w:jc w:val="left"/>
            </w:pPr>
            <w:r>
              <w:rPr>
                <w:iCs/>
                <w:i/>
                <w:bCs/>
                <w:b/>
              </w:rPr>
              <w:t xml:space="preserve">TSHR</w:t>
            </w:r>
          </w:p>
        </w:tc>
        <w:tc>
          <w:tcPr/>
          <w:p>
            <w:pPr>
              <w:pStyle w:val="Compact"/>
              <w:jc w:val="left"/>
            </w:pPr>
            <w:r>
              <w:t xml:space="preserve">1</w:t>
            </w:r>
          </w:p>
        </w:tc>
        <w:tc>
          <w:tcPr/>
          <w:p>
            <w:pPr>
              <w:pStyle w:val="Compact"/>
              <w:jc w:val="left"/>
            </w:pPr>
            <w:r>
              <w:t xml:space="preserve">0.12 (0.07–0.21)</w:t>
            </w:r>
          </w:p>
        </w:tc>
        <w:tc>
          <w:tcPr/>
          <w:p>
            <w:pPr>
              <w:pStyle w:val="Compact"/>
              <w:jc w:val="left"/>
            </w:pPr>
            <w:r>
              <w:t xml:space="preserve">1.1×10⁻¹⁴</w:t>
            </w:r>
          </w:p>
        </w:tc>
        <w:tc>
          <w:tcPr/>
          <w:p>
            <w:pPr>
              <w:pStyle w:val="Compact"/>
              <w:jc w:val="left"/>
            </w:pPr>
            <w:r>
              <w:t xml:space="preserve">0.951</w:t>
            </w:r>
          </w:p>
        </w:tc>
        <w:tc>
          <w:tcPr/>
          <w:p>
            <w:pPr>
              <w:pStyle w:val="Compact"/>
              <w:jc w:val="left"/>
            </w:pPr>
            <w:r>
              <w:t xml:space="preserve">0.226</w:t>
            </w:r>
          </w:p>
        </w:tc>
        <w:tc>
          <w:tcPr/>
          <w:p>
            <w:pPr>
              <w:pStyle w:val="Compact"/>
              <w:jc w:val="left"/>
            </w:pPr>
            <w:r>
              <w:t xml:space="preserve">0.986</w:t>
            </w:r>
          </w:p>
        </w:tc>
        <w:tc>
          <w:tcPr/>
          <w:p>
            <w:pPr>
              <w:pStyle w:val="Compact"/>
              <w:jc w:val="left"/>
            </w:pPr>
            <w:r>
              <w:t xml:space="preserve">Established GD locus (susceptibility anchor)</w:t>
            </w:r>
          </w:p>
        </w:tc>
      </w:tr>
      <w:tr>
        <w:tc>
          <w:tcPr/>
          <w:p>
            <w:pPr>
              <w:pStyle w:val="Compact"/>
              <w:jc w:val="left"/>
            </w:pPr>
            <w:r>
              <w:rPr>
                <w:iCs/>
                <w:i/>
              </w:rPr>
              <w:t xml:space="preserve">C4A</w:t>
            </w:r>
          </w:p>
        </w:tc>
        <w:tc>
          <w:tcPr/>
          <w:p>
            <w:pPr>
              <w:pStyle w:val="Compact"/>
              <w:jc w:val="left"/>
            </w:pPr>
            <w:r>
              <w:t xml:space="preserve">1</w:t>
            </w:r>
          </w:p>
        </w:tc>
        <w:tc>
          <w:tcPr/>
          <w:p>
            <w:pPr>
              <w:pStyle w:val="Compact"/>
              <w:jc w:val="left"/>
            </w:pPr>
            <w:r>
              <w:t xml:space="preserve">0.45 (0.35–0.57)</w:t>
            </w:r>
          </w:p>
        </w:tc>
        <w:tc>
          <w:tcPr/>
          <w:p>
            <w:pPr>
              <w:pStyle w:val="Compact"/>
              <w:jc w:val="left"/>
            </w:pPr>
            <w:r>
              <w:t xml:space="preserve">2.2×10⁻¹⁰</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w:t>
            </w:r>
          </w:p>
        </w:tc>
        <w:tc>
          <w:tcPr/>
          <w:p>
            <w:pPr>
              <w:pStyle w:val="Compact"/>
              <w:jc w:val="left"/>
            </w:pPr>
            <w:r>
              <w:t xml:space="preserve">0.29 (0.18–0.47)</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2</w:t>
            </w:r>
          </w:p>
        </w:tc>
        <w:tc>
          <w:tcPr/>
          <w:p>
            <w:pPr>
              <w:pStyle w:val="Compact"/>
              <w:jc w:val="left"/>
            </w:pPr>
            <w:r>
              <w:t xml:space="preserve">1.49 (1.28–1.74)</w:t>
            </w:r>
          </w:p>
        </w:tc>
        <w:tc>
          <w:tcPr/>
          <w:p>
            <w:pPr>
              <w:pStyle w:val="Compact"/>
              <w:jc w:val="left"/>
            </w:pPr>
            <w:r>
              <w:t xml:space="preserve">3.1×10⁻⁷</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1</w:t>
            </w:r>
          </w:p>
        </w:tc>
        <w:tc>
          <w:tcPr/>
          <w:p>
            <w:pPr>
              <w:pStyle w:val="Compact"/>
              <w:jc w:val="left"/>
            </w:pPr>
            <w:r>
              <w:t xml:space="preserve">0.13 (0.06–0.29)</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1</w:t>
            </w:r>
          </w:p>
        </w:tc>
        <w:tc>
          <w:tcPr/>
          <w:p>
            <w:pPr>
              <w:pStyle w:val="Compact"/>
              <w:jc w:val="left"/>
            </w:pPr>
            <w:r>
              <w:t xml:space="preserve">0.63 (0.52–0.76)</w:t>
            </w:r>
          </w:p>
        </w:tc>
        <w:tc>
          <w:tcPr/>
          <w:p>
            <w:pPr>
              <w:pStyle w:val="Compact"/>
              <w:jc w:val="left"/>
            </w:pPr>
            <w:r>
              <w:t xml:space="preserve">1.5×10⁻⁶</w:t>
            </w:r>
          </w:p>
        </w:tc>
        <w:tc>
          <w:tcPr/>
          <w:p>
            <w:pPr>
              <w:pStyle w:val="Compact"/>
              <w:jc w:val="left"/>
            </w:pPr>
            <w:r>
              <w:t xml:space="preserve">0.994</w:t>
            </w:r>
          </w:p>
        </w:tc>
        <w:tc>
          <w:tcPr/>
          <w:p>
            <w:pPr>
              <w:pStyle w:val="Compact"/>
              <w:jc w:val="left"/>
            </w:pPr>
            <w:r>
              <w:t xml:space="preserve">0.237</w:t>
            </w:r>
          </w:p>
        </w:tc>
        <w:tc>
          <w:tcPr/>
          <w:p>
            <w:pPr>
              <w:pStyle w:val="Compact"/>
              <w:jc w:val="left"/>
            </w:pPr>
            <w:r>
              <w:t xml:space="preserve">0.017</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w:t>
            </w:r>
          </w:p>
        </w:tc>
        <w:tc>
          <w:tcPr/>
          <w:p>
            <w:pPr>
              <w:pStyle w:val="Compact"/>
              <w:jc w:val="left"/>
            </w:pPr>
            <w:r>
              <w:t xml:space="preserve">6.00 (2.87–12.57)</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4</w:t>
            </w:r>
          </w:p>
        </w:tc>
        <w:tc>
          <w:tcPr/>
          <w:p>
            <w:pPr>
              <w:pStyle w:val="Compact"/>
              <w:jc w:val="left"/>
            </w:pPr>
            <w:r>
              <w:t xml:space="preserve">0.98 (0.97–0.99)</w:t>
            </w:r>
          </w:p>
        </w:tc>
        <w:tc>
          <w:tcPr/>
          <w:p>
            <w:pPr>
              <w:pStyle w:val="Compact"/>
              <w:jc w:val="left"/>
            </w:pPr>
            <w:r>
              <w:t xml:space="preserve">5.3×10⁻⁶</w:t>
            </w:r>
          </w:p>
        </w:tc>
        <w:tc>
          <w:tcPr/>
          <w:p>
            <w:pPr>
              <w:pStyle w:val="Compact"/>
              <w:jc w:val="left"/>
            </w:pPr>
            <w:r>
              <w:t xml:space="preserve">&lt;0.001</w:t>
            </w:r>
          </w:p>
        </w:tc>
        <w:tc>
          <w:tcPr/>
          <w:p>
            <w:pPr>
              <w:pStyle w:val="Compact"/>
              <w:jc w:val="left"/>
            </w:pPr>
            <w:r>
              <w:t xml:space="preserve">0.005</w:t>
            </w:r>
          </w:p>
        </w:tc>
        <w:tc>
          <w:tcPr/>
          <w:p>
            <w:pPr>
              <w:pStyle w:val="Compact"/>
              <w:jc w:val="left"/>
            </w:pPr>
            <w:r>
              <w:t xml:space="preserve">0.026</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1</w:t>
            </w:r>
          </w:p>
        </w:tc>
        <w:tc>
          <w:tcPr/>
          <w:p>
            <w:pPr>
              <w:pStyle w:val="Compact"/>
              <w:jc w:val="left"/>
            </w:pPr>
            <w:r>
              <w:t xml:space="preserve">1.25 (1.13–1.38)</w:t>
            </w:r>
          </w:p>
        </w:tc>
        <w:tc>
          <w:tcPr/>
          <w:p>
            <w:pPr>
              <w:pStyle w:val="Compact"/>
              <w:jc w:val="left"/>
            </w:pPr>
            <w:r>
              <w:t xml:space="preserve">6.9×10⁻⁶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1</w:t>
            </w:r>
          </w:p>
        </w:tc>
        <w:tc>
          <w:tcPr/>
          <w:p>
            <w:pPr>
              <w:pStyle w:val="Compact"/>
              <w:jc w:val="left"/>
            </w:pPr>
            <w:r>
              <w:t xml:space="preserve">2.10 (1.51–2.91)</w:t>
            </w:r>
          </w:p>
        </w:tc>
        <w:tc>
          <w:tcPr/>
          <w:p>
            <w:pPr>
              <w:pStyle w:val="Compact"/>
              <w:jc w:val="left"/>
            </w:pPr>
            <w:r>
              <w:t xml:space="preserve">9.4×10⁻⁶</w:t>
            </w:r>
          </w:p>
        </w:tc>
        <w:tc>
          <w:tcPr/>
          <w:p>
            <w:pPr>
              <w:pStyle w:val="Compact"/>
              <w:jc w:val="left"/>
            </w:pPr>
            <w:r>
              <w:t xml:space="preserve">0.989</w:t>
            </w:r>
          </w:p>
        </w:tc>
        <w:tc>
          <w:tcPr/>
          <w:p>
            <w:pPr>
              <w:pStyle w:val="Compact"/>
              <w:jc w:val="left"/>
            </w:pPr>
            <w:r>
              <w:t xml:space="preserve">0.052</w:t>
            </w:r>
          </w:p>
        </w:tc>
        <w:tc>
          <w:tcPr/>
          <w:p>
            <w:pPr>
              <w:pStyle w:val="Compact"/>
              <w:jc w:val="left"/>
            </w:pPr>
            <w:r>
              <w:t xml:space="preserve">0.020</w:t>
            </w:r>
          </w:p>
        </w:tc>
        <w:tc>
          <w:tcPr/>
          <w:p>
            <w:pPr>
              <w:pStyle w:val="Compact"/>
              <w:jc w:val="left"/>
            </w:pPr>
            <w:r>
              <w:t xml:space="preserve">Candidate (single-outcome coloc)</w:t>
            </w:r>
          </w:p>
        </w:tc>
      </w:tr>
    </w:tbl>
    <w:p>
      <w:pPr>
        <w:pStyle w:val="BodyText"/>
      </w:pPr>
      <w:r>
        <w:rPr>
          <w:iCs/>
          <w:i/>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loci in the MHC region or otherwise not carried into formal colocalization. The two established loci (TSHR, CTLA4) and MHC-region signals are recognized a priori.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p>
      <w:r>
        <w:pict>
          <v:rect style="width:0;height:1.5pt" o:hralign="center" o:hrstd="t" o:hr="t"/>
        </w:pict>
      </w:r>
    </w:p>
    <w:bookmarkEnd w:id="40"/>
    <w:bookmarkStart w:id="41" w:name="supplementary-material"/>
    <w:p>
      <w:pPr>
        <w:pStyle w:val="Heading2"/>
      </w:pPr>
      <w:r>
        <w:t xml:space="preserve">Supplementary Material</w:t>
      </w:r>
    </w:p>
    <w:p>
      <w:pPr>
        <w:pStyle w:val="FirstParagraph"/>
      </w:pPr>
      <w:r>
        <w:rPr>
          <w:bCs/>
          <w:b/>
        </w:rPr>
        <w:t xml:space="preserve">Supplementary Tables</w:t>
      </w:r>
    </w:p>
    <w:p>
      <w:pPr>
        <w:numPr>
          <w:ilvl w:val="0"/>
          <w:numId w:val="1002"/>
        </w:numPr>
        <w:pStyle w:val="Compact"/>
      </w:pPr>
      <w:r>
        <w:rPr>
          <w:bCs/>
          <w:b/>
        </w:rPr>
        <w:t xml:space="preserve">Table S1.</w:t>
      </w:r>
      <w:r>
        <w:t xml:space="preserve"> </w:t>
      </w:r>
      <w:r>
        <w:t xml:space="preserve">Extended cross-outcome detail for the thirteen Bonferroni-significant BBJ discovery hits. Whereas Table 3 summarizes the discovery (BBJ) effect sizes and colocalization, this table provides the per-hit Mendelian randomization estimates across all three outcomes (BBJ Graves disease, UKB hyperthyroidism, FinnGen Graves ophthalmopathy) together with the colocalization lead variant, supporting the cross-outcome reproducibility assessment.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BBJ β (</w:t>
            </w:r>
            <w:r>
              <w:rPr>
                <w:iCs/>
                <w:i/>
              </w:rPr>
              <w:t xml:space="preserve">P</w:t>
            </w:r>
            <w:r>
              <w:t xml:space="preserve">)</w:t>
            </w:r>
          </w:p>
        </w:tc>
        <w:tc>
          <w:tcPr/>
          <w:p>
            <w:pPr>
              <w:pStyle w:val="Compact"/>
              <w:jc w:val="left"/>
            </w:pPr>
            <w:r>
              <w:t xml:space="preserve">UKB β (</w:t>
            </w:r>
            <w:r>
              <w:rPr>
                <w:iCs/>
                <w:i/>
              </w:rPr>
              <w:t xml:space="preserve">P</w:t>
            </w:r>
            <w:r>
              <w:t xml:space="preserve">)</w:t>
            </w:r>
          </w:p>
        </w:tc>
        <w:tc>
          <w:tcPr/>
          <w:p>
            <w:pPr>
              <w:pStyle w:val="Compact"/>
              <w:jc w:val="left"/>
            </w:pPr>
            <w:r>
              <w:t xml:space="preserve">FinnGen β (</w:t>
            </w:r>
            <w:r>
              <w:rPr>
                <w:iCs/>
                <w:i/>
              </w:rPr>
              <w:t xml:space="preserve">P</w:t>
            </w:r>
            <w:r>
              <w:t xml:space="preserve">)</w:t>
            </w:r>
          </w:p>
        </w:tc>
        <w:tc>
          <w:tcPr/>
          <w:p>
            <w:pPr>
              <w:pStyle w:val="Compact"/>
              <w:jc w:val="left"/>
            </w:pPr>
            <w:r>
              <w:t xml:space="preserve">Coloc lead SNP</w:t>
            </w:r>
          </w:p>
        </w:tc>
        <w:tc>
          <w:tcPr/>
          <w:p>
            <w:pPr>
              <w:pStyle w:val="Compact"/>
              <w:jc w:val="left"/>
            </w:pPr>
            <w:r>
              <w:t xml:space="preserve">Classification</w:t>
            </w:r>
          </w:p>
        </w:tc>
      </w:tr>
      <w:tr>
        <w:tc>
          <w:tcPr/>
          <w:p>
            <w:pPr>
              <w:pStyle w:val="Compact"/>
              <w:jc w:val="left"/>
            </w:pPr>
            <w:r>
              <w:rPr>
                <w:iCs/>
                <w:i/>
              </w:rPr>
              <w:t xml:space="preserve">HLA-A</w:t>
            </w:r>
          </w:p>
        </w:tc>
        <w:tc>
          <w:tcPr/>
          <w:p>
            <w:pPr>
              <w:pStyle w:val="Compact"/>
              <w:jc w:val="left"/>
            </w:pPr>
            <w:r>
              <w:t xml:space="preserve">+0.68 (2.6×10⁻²³)</w:t>
            </w:r>
          </w:p>
        </w:tc>
        <w:tc>
          <w:tcPr/>
          <w:p>
            <w:pPr>
              <w:pStyle w:val="Compact"/>
              <w:jc w:val="left"/>
            </w:pPr>
            <w:r>
              <w:t xml:space="preserve">−0.17 (0.47)</w:t>
            </w:r>
          </w:p>
        </w:tc>
        <w:tc>
          <w:tcPr/>
          <w:p>
            <w:pPr>
              <w:pStyle w:val="Compact"/>
              <w:jc w:val="left"/>
            </w:pPr>
            <w:r>
              <w:t xml:space="preserve">+0.18 (0.43)</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HLA-DQA2</w:t>
            </w:r>
          </w:p>
        </w:tc>
        <w:tc>
          <w:tcPr/>
          <w:p>
            <w:pPr>
              <w:pStyle w:val="Compact"/>
              <w:jc w:val="left"/>
            </w:pPr>
            <w:r>
              <w:t xml:space="preserve">+0.87 (8.3×10⁻¹⁷)</w:t>
            </w:r>
          </w:p>
        </w:tc>
        <w:tc>
          <w:tcPr/>
          <w:p>
            <w:pPr>
              <w:pStyle w:val="Compact"/>
              <w:jc w:val="left"/>
            </w:pPr>
            <w:r>
              <w:t xml:space="preserve">−0.25 (0.45)</w:t>
            </w:r>
          </w:p>
        </w:tc>
        <w:tc>
          <w:tcPr/>
          <w:p>
            <w:pPr>
              <w:pStyle w:val="Compact"/>
              <w:jc w:val="left"/>
            </w:pPr>
            <w:r>
              <w:t xml:space="preserve">+0.83 (1.8×10⁻⁷)</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CTLA4</w:t>
            </w:r>
          </w:p>
        </w:tc>
        <w:tc>
          <w:tcPr/>
          <w:p>
            <w:pPr>
              <w:pStyle w:val="Compact"/>
              <w:jc w:val="left"/>
            </w:pPr>
            <w:r>
              <w:t xml:space="preserve">−1.74 (5.5×10⁻¹⁵)</w:t>
            </w:r>
          </w:p>
        </w:tc>
        <w:tc>
          <w:tcPr/>
          <w:p>
            <w:pPr>
              <w:pStyle w:val="Compact"/>
              <w:jc w:val="left"/>
            </w:pPr>
            <w:r>
              <w:t xml:space="preserve">−1.57 (2.2×10⁻³)</w:t>
            </w:r>
          </w:p>
        </w:tc>
        <w:tc>
          <w:tcPr/>
          <w:p>
            <w:pPr>
              <w:pStyle w:val="Compact"/>
              <w:jc w:val="left"/>
            </w:pPr>
            <w:r>
              <w:t xml:space="preserve">−1.77 (1.2×10⁻²)</w:t>
            </w:r>
          </w:p>
        </w:tc>
        <w:tc>
          <w:tcPr/>
          <w:p>
            <w:pPr>
              <w:pStyle w:val="Compact"/>
              <w:jc w:val="left"/>
            </w:pPr>
            <w:r>
              <w:t xml:space="preserve">rs231811</w:t>
            </w:r>
          </w:p>
        </w:tc>
        <w:tc>
          <w:tcPr/>
          <w:p>
            <w:pPr>
              <w:pStyle w:val="Compact"/>
              <w:jc w:val="left"/>
            </w:pPr>
            <w:r>
              <w:t xml:space="preserve">Established autoimmune locus</w:t>
            </w:r>
          </w:p>
        </w:tc>
      </w:tr>
      <w:tr>
        <w:tc>
          <w:tcPr/>
          <w:p>
            <w:pPr>
              <w:pStyle w:val="Compact"/>
              <w:jc w:val="left"/>
            </w:pPr>
            <w:r>
              <w:rPr>
                <w:iCs/>
                <w:i/>
              </w:rPr>
              <w:t xml:space="preserve">TSHR</w:t>
            </w:r>
          </w:p>
        </w:tc>
        <w:tc>
          <w:tcPr/>
          <w:p>
            <w:pPr>
              <w:pStyle w:val="Compact"/>
              <w:jc w:val="left"/>
            </w:pPr>
            <w:r>
              <w:t xml:space="preserve">−2.10 (1.1×10⁻¹⁴)</w:t>
            </w:r>
          </w:p>
        </w:tc>
        <w:tc>
          <w:tcPr/>
          <w:p>
            <w:pPr>
              <w:pStyle w:val="Compact"/>
              <w:jc w:val="left"/>
            </w:pPr>
            <w:r>
              <w:t xml:space="preserve">−2.44 (8.8×10⁻²⁸)</w:t>
            </w:r>
          </w:p>
        </w:tc>
        <w:tc>
          <w:tcPr/>
          <w:p>
            <w:pPr>
              <w:pStyle w:val="Compact"/>
              <w:jc w:val="left"/>
            </w:pPr>
            <w:r>
              <w:t xml:space="preserve">−2.33 (2.8×10⁻⁷)</w:t>
            </w:r>
          </w:p>
        </w:tc>
        <w:tc>
          <w:tcPr/>
          <w:p>
            <w:pPr>
              <w:pStyle w:val="Compact"/>
              <w:jc w:val="left"/>
            </w:pPr>
            <w:r>
              <w:t xml:space="preserve">rs179252</w:t>
            </w:r>
          </w:p>
        </w:tc>
        <w:tc>
          <w:tcPr/>
          <w:p>
            <w:pPr>
              <w:pStyle w:val="Compact"/>
              <w:jc w:val="left"/>
            </w:pPr>
            <w:r>
              <w:t xml:space="preserve">Established GD locus</w:t>
            </w:r>
          </w:p>
        </w:tc>
      </w:tr>
      <w:tr>
        <w:tc>
          <w:tcPr/>
          <w:p>
            <w:pPr>
              <w:pStyle w:val="Compact"/>
              <w:jc w:val="left"/>
            </w:pPr>
            <w:r>
              <w:rPr>
                <w:iCs/>
                <w:i/>
              </w:rPr>
              <w:t xml:space="preserve">C4A</w:t>
            </w:r>
          </w:p>
        </w:tc>
        <w:tc>
          <w:tcPr/>
          <w:p>
            <w:pPr>
              <w:pStyle w:val="Compact"/>
              <w:jc w:val="left"/>
            </w:pPr>
            <w:r>
              <w:t xml:space="preserve">−0.80 (2.2×10⁻¹⁰)</w:t>
            </w:r>
          </w:p>
        </w:tc>
        <w:tc>
          <w:tcPr/>
          <w:p>
            <w:pPr>
              <w:pStyle w:val="Compact"/>
              <w:jc w:val="left"/>
            </w:pPr>
            <w:r>
              <w:t xml:space="preserve">−0.14 (0.24)</w:t>
            </w:r>
          </w:p>
        </w:tc>
        <w:tc>
          <w:tcPr/>
          <w:p>
            <w:pPr>
              <w:pStyle w:val="Compact"/>
              <w:jc w:val="left"/>
            </w:pPr>
            <w:r>
              <w:t xml:space="preserve">−1.02 (1.4×10⁻¹¹)</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HSD3B7</w:t>
            </w:r>
          </w:p>
        </w:tc>
        <w:tc>
          <w:tcPr/>
          <w:p>
            <w:pPr>
              <w:pStyle w:val="Compact"/>
              <w:jc w:val="left"/>
            </w:pPr>
            <w:r>
              <w:t xml:space="preserve">−1.23 (2.0×10⁻⁷)</w:t>
            </w:r>
          </w:p>
        </w:tc>
        <w:tc>
          <w:tcPr/>
          <w:p>
            <w:pPr>
              <w:pStyle w:val="Compact"/>
              <w:jc w:val="left"/>
            </w:pPr>
            <w:r>
              <w:t xml:space="preserve">−0.28 (0.020)</w:t>
            </w:r>
          </w:p>
        </w:tc>
        <w:tc>
          <w:tcPr/>
          <w:p>
            <w:pPr>
              <w:pStyle w:val="Compact"/>
              <w:jc w:val="left"/>
            </w:pPr>
            <w:r>
              <w:t xml:space="preserve">+0.27 (0.27)</w:t>
            </w:r>
          </w:p>
        </w:tc>
        <w:tc>
          <w:tcPr/>
          <w:p>
            <w:pPr>
              <w:pStyle w:val="Compact"/>
              <w:jc w:val="left"/>
            </w:pPr>
            <w:r>
              <w:t xml:space="preserve">rs4889606</w:t>
            </w:r>
          </w:p>
        </w:tc>
        <w:tc>
          <w:tcPr/>
          <w:p>
            <w:pPr>
              <w:pStyle w:val="Compact"/>
              <w:jc w:val="left"/>
            </w:pPr>
            <w:r>
              <w:t xml:space="preserve">chr16p11.2 LD cluster</w:t>
            </w:r>
          </w:p>
        </w:tc>
      </w:tr>
      <w:tr>
        <w:tc>
          <w:tcPr/>
          <w:p>
            <w:pPr>
              <w:pStyle w:val="Compact"/>
              <w:jc w:val="left"/>
            </w:pPr>
            <w:r>
              <w:rPr>
                <w:iCs/>
                <w:i/>
              </w:rPr>
              <w:t xml:space="preserve">TUBB</w:t>
            </w:r>
          </w:p>
        </w:tc>
        <w:tc>
          <w:tcPr/>
          <w:p>
            <w:pPr>
              <w:pStyle w:val="Compact"/>
              <w:jc w:val="left"/>
            </w:pPr>
            <w:r>
              <w:t xml:space="preserve">+0.40 (3.1×10⁻⁷)</w:t>
            </w:r>
          </w:p>
        </w:tc>
        <w:tc>
          <w:tcPr/>
          <w:p>
            <w:pPr>
              <w:pStyle w:val="Compact"/>
              <w:jc w:val="left"/>
            </w:pPr>
            <w:r>
              <w:t xml:space="preserve">+1.04 (3.1×10⁻⁶)</w:t>
            </w:r>
          </w:p>
        </w:tc>
        <w:tc>
          <w:tcPr/>
          <w:p>
            <w:pPr>
              <w:pStyle w:val="Compact"/>
              <w:jc w:val="left"/>
            </w:pPr>
            <w:r>
              <w:t xml:space="preserve">+1.24 (5.9×10⁻⁵)</w:t>
            </w:r>
          </w:p>
        </w:tc>
        <w:tc>
          <w:tcPr/>
          <w:p>
            <w:pPr>
              <w:pStyle w:val="Compact"/>
              <w:jc w:val="left"/>
            </w:pPr>
            <w:r>
              <w:t xml:space="preserve">—</w:t>
            </w:r>
          </w:p>
        </w:tc>
        <w:tc>
          <w:tcPr/>
          <w:p>
            <w:pPr>
              <w:pStyle w:val="Compact"/>
              <w:jc w:val="left"/>
            </w:pPr>
            <w:r>
              <w:t xml:space="preserve">MHC-region-linked</w:t>
            </w:r>
          </w:p>
        </w:tc>
      </w:tr>
      <w:tr>
        <w:tc>
          <w:tcPr/>
          <w:p>
            <w:pPr>
              <w:pStyle w:val="Compact"/>
              <w:jc w:val="left"/>
            </w:pPr>
            <w:r>
              <w:rPr>
                <w:iCs/>
                <w:i/>
              </w:rPr>
              <w:t xml:space="preserve">VKORC1</w:t>
            </w:r>
          </w:p>
        </w:tc>
        <w:tc>
          <w:tcPr/>
          <w:p>
            <w:pPr>
              <w:pStyle w:val="Compact"/>
              <w:jc w:val="left"/>
            </w:pPr>
            <w:r>
              <w:t xml:space="preserve">−2.02 (6.4×10⁻⁷)</w:t>
            </w:r>
          </w:p>
        </w:tc>
        <w:tc>
          <w:tcPr/>
          <w:p>
            <w:pPr>
              <w:pStyle w:val="Compact"/>
              <w:jc w:val="left"/>
            </w:pPr>
            <w:r>
              <w:t xml:space="preserve">−0.37 (0.073)</w:t>
            </w:r>
          </w:p>
        </w:tc>
        <w:tc>
          <w:tcPr/>
          <w:p>
            <w:pPr>
              <w:pStyle w:val="Compact"/>
              <w:jc w:val="left"/>
            </w:pPr>
            <w:r>
              <w:t xml:space="preserve">—</w:t>
            </w:r>
          </w:p>
        </w:tc>
        <w:tc>
          <w:tcPr/>
          <w:p>
            <w:pPr>
              <w:pStyle w:val="Compact"/>
              <w:jc w:val="left"/>
            </w:pPr>
            <w:r>
              <w:t xml:space="preserve">rs34649473</w:t>
            </w:r>
          </w:p>
        </w:tc>
        <w:tc>
          <w:tcPr/>
          <w:p>
            <w:pPr>
              <w:pStyle w:val="Compact"/>
              <w:jc w:val="left"/>
            </w:pPr>
            <w:r>
              <w:t xml:space="preserve">chr16p11.2 LD cluster</w:t>
            </w:r>
          </w:p>
        </w:tc>
      </w:tr>
      <w:tr>
        <w:tc>
          <w:tcPr/>
          <w:p>
            <w:pPr>
              <w:pStyle w:val="Compact"/>
              <w:jc w:val="left"/>
            </w:pPr>
            <w:r>
              <w:rPr>
                <w:iCs/>
                <w:i/>
              </w:rPr>
              <w:t xml:space="preserve">TNFSF14</w:t>
            </w:r>
          </w:p>
        </w:tc>
        <w:tc>
          <w:tcPr/>
          <w:p>
            <w:pPr>
              <w:pStyle w:val="Compact"/>
              <w:jc w:val="left"/>
            </w:pPr>
            <w:r>
              <w:t xml:space="preserve">−0.47 (1.5×10⁻⁶)</w:t>
            </w:r>
          </w:p>
        </w:tc>
        <w:tc>
          <w:tcPr/>
          <w:p>
            <w:pPr>
              <w:pStyle w:val="Compact"/>
              <w:jc w:val="left"/>
            </w:pPr>
            <w:r>
              <w:t xml:space="preserve">−0.30 (5.6×10⁻³)</w:t>
            </w:r>
          </w:p>
        </w:tc>
        <w:tc>
          <w:tcPr/>
          <w:p>
            <w:pPr>
              <w:pStyle w:val="Compact"/>
              <w:jc w:val="left"/>
            </w:pPr>
            <w:r>
              <w:t xml:space="preserve">+0.03 (0.85)</w:t>
            </w:r>
          </w:p>
        </w:tc>
        <w:tc>
          <w:tcPr/>
          <w:p>
            <w:pPr>
              <w:pStyle w:val="Compact"/>
              <w:jc w:val="left"/>
            </w:pPr>
            <w:r>
              <w:t xml:space="preserve">rs2291668</w:t>
            </w:r>
          </w:p>
        </w:tc>
        <w:tc>
          <w:tcPr/>
          <w:p>
            <w:pPr>
              <w:pStyle w:val="Compact"/>
              <w:jc w:val="left"/>
            </w:pPr>
            <w:r>
              <w:t xml:space="preserve">Candidate (single-outcome coloc)</w:t>
            </w:r>
          </w:p>
        </w:tc>
      </w:tr>
      <w:tr>
        <w:tc>
          <w:tcPr/>
          <w:p>
            <w:pPr>
              <w:pStyle w:val="Compact"/>
              <w:jc w:val="left"/>
            </w:pPr>
            <w:r>
              <w:rPr>
                <w:iCs/>
                <w:i/>
              </w:rPr>
              <w:t xml:space="preserve">PRSS36</w:t>
            </w:r>
          </w:p>
        </w:tc>
        <w:tc>
          <w:tcPr/>
          <w:p>
            <w:pPr>
              <w:pStyle w:val="Compact"/>
              <w:jc w:val="left"/>
            </w:pPr>
            <w:r>
              <w:t xml:space="preserve">+1.79 (2.0×10⁻⁶)</w:t>
            </w:r>
          </w:p>
        </w:tc>
        <w:tc>
          <w:tcPr/>
          <w:p>
            <w:pPr>
              <w:pStyle w:val="Compact"/>
              <w:jc w:val="left"/>
            </w:pPr>
            <w:r>
              <w:t xml:space="preserve">+0.45 (0.014)</w:t>
            </w:r>
          </w:p>
        </w:tc>
        <w:tc>
          <w:tcPr/>
          <w:p>
            <w:pPr>
              <w:pStyle w:val="Compact"/>
              <w:jc w:val="left"/>
            </w:pPr>
            <w:r>
              <w:t xml:space="preserve">+0.44 (0.23)</w:t>
            </w:r>
          </w:p>
        </w:tc>
        <w:tc>
          <w:tcPr/>
          <w:p>
            <w:pPr>
              <w:pStyle w:val="Compact"/>
              <w:jc w:val="left"/>
            </w:pPr>
            <w:r>
              <w:t xml:space="preserve">rs78924645</w:t>
            </w:r>
          </w:p>
        </w:tc>
        <w:tc>
          <w:tcPr/>
          <w:p>
            <w:pPr>
              <w:pStyle w:val="Compact"/>
              <w:jc w:val="left"/>
            </w:pPr>
            <w:r>
              <w:t xml:space="preserve">chr16p11.2 LD cluster</w:t>
            </w:r>
          </w:p>
        </w:tc>
      </w:tr>
      <w:tr>
        <w:tc>
          <w:tcPr/>
          <w:p>
            <w:pPr>
              <w:pStyle w:val="Compact"/>
              <w:jc w:val="left"/>
            </w:pPr>
            <w:r>
              <w:rPr>
                <w:iCs/>
                <w:i/>
              </w:rPr>
              <w:t xml:space="preserve">MAPKAPK5</w:t>
            </w:r>
          </w:p>
        </w:tc>
        <w:tc>
          <w:tcPr/>
          <w:p>
            <w:pPr>
              <w:pStyle w:val="Compact"/>
              <w:jc w:val="left"/>
            </w:pPr>
            <w:r>
              <w:t xml:space="preserve">−0.02 (5.3×10⁻⁶)</w:t>
            </w:r>
          </w:p>
        </w:tc>
        <w:tc>
          <w:tcPr/>
          <w:p>
            <w:pPr>
              <w:pStyle w:val="Compact"/>
              <w:jc w:val="left"/>
            </w:pPr>
            <w:r>
              <w:t xml:space="preserve">−0.19 (0.078)</w:t>
            </w:r>
          </w:p>
        </w:tc>
        <w:tc>
          <w:tcPr/>
          <w:p>
            <w:pPr>
              <w:pStyle w:val="Compact"/>
              <w:jc w:val="left"/>
            </w:pPr>
            <w:r>
              <w:t xml:space="preserve">−0.10 (0.16)</w:t>
            </w:r>
          </w:p>
        </w:tc>
        <w:tc>
          <w:tcPr/>
          <w:p>
            <w:pPr>
              <w:pStyle w:val="Compact"/>
              <w:jc w:val="left"/>
            </w:pPr>
            <w:r>
              <w:t xml:space="preserve">rs79271898</w:t>
            </w:r>
          </w:p>
        </w:tc>
        <w:tc>
          <w:tcPr/>
          <w:p>
            <w:pPr>
              <w:pStyle w:val="Compact"/>
              <w:jc w:val="left"/>
            </w:pPr>
            <w:r>
              <w:t xml:space="preserve">Candidate (distinct-variant signal)</w:t>
            </w:r>
          </w:p>
        </w:tc>
      </w:tr>
      <w:tr>
        <w:tc>
          <w:tcPr/>
          <w:p>
            <w:pPr>
              <w:pStyle w:val="Compact"/>
              <w:jc w:val="left"/>
            </w:pPr>
            <w:r>
              <w:rPr>
                <w:iCs/>
                <w:i/>
              </w:rPr>
              <w:t xml:space="preserve">PSMB8</w:t>
            </w:r>
          </w:p>
        </w:tc>
        <w:tc>
          <w:tcPr/>
          <w:p>
            <w:pPr>
              <w:pStyle w:val="Compact"/>
              <w:jc w:val="left"/>
            </w:pPr>
            <w:r>
              <w:t xml:space="preserve">+0.22 (6.9×10⁻⁶)</w:t>
            </w:r>
          </w:p>
        </w:tc>
        <w:tc>
          <w:tcPr/>
          <w:p>
            <w:pPr>
              <w:pStyle w:val="Compact"/>
              <w:jc w:val="left"/>
            </w:pPr>
            <w:r>
              <w:t xml:space="preserve">−0.04 (0.55)</w:t>
            </w:r>
          </w:p>
        </w:tc>
        <w:tc>
          <w:tcPr/>
          <w:p>
            <w:pPr>
              <w:pStyle w:val="Compact"/>
              <w:jc w:val="left"/>
            </w:pPr>
            <w:r>
              <w:t xml:space="preserve">−0.07 (0.57)</w:t>
            </w:r>
          </w:p>
        </w:tc>
        <w:tc>
          <w:tcPr/>
          <w:p>
            <w:pPr>
              <w:pStyle w:val="Compact"/>
              <w:jc w:val="left"/>
            </w:pPr>
            <w:r>
              <w:t xml:space="preserve">—</w:t>
            </w:r>
          </w:p>
        </w:tc>
        <w:tc>
          <w:tcPr/>
          <w:p>
            <w:pPr>
              <w:pStyle w:val="Compact"/>
              <w:jc w:val="left"/>
            </w:pPr>
            <w:r>
              <w:t xml:space="preserve">MHC region</w:t>
            </w:r>
          </w:p>
        </w:tc>
      </w:tr>
      <w:tr>
        <w:tc>
          <w:tcPr/>
          <w:p>
            <w:pPr>
              <w:pStyle w:val="Compact"/>
              <w:jc w:val="left"/>
            </w:pPr>
            <w:r>
              <w:rPr>
                <w:iCs/>
                <w:i/>
              </w:rPr>
              <w:t xml:space="preserve">IFNGR1</w:t>
            </w:r>
          </w:p>
        </w:tc>
        <w:tc>
          <w:tcPr/>
          <w:p>
            <w:pPr>
              <w:pStyle w:val="Compact"/>
              <w:jc w:val="left"/>
            </w:pPr>
            <w:r>
              <w:t xml:space="preserve">+0.74 (9.4×10⁻⁶)</w:t>
            </w:r>
          </w:p>
        </w:tc>
        <w:tc>
          <w:tcPr/>
          <w:p>
            <w:pPr>
              <w:pStyle w:val="Compact"/>
              <w:jc w:val="left"/>
            </w:pPr>
            <w:r>
              <w:t xml:space="preserve">+0.30 (0.070)</w:t>
            </w:r>
          </w:p>
        </w:tc>
        <w:tc>
          <w:tcPr/>
          <w:p>
            <w:pPr>
              <w:pStyle w:val="Compact"/>
              <w:jc w:val="left"/>
            </w:pPr>
            <w:r>
              <w:t xml:space="preserve">+0.14 (0.68)</w:t>
            </w:r>
          </w:p>
        </w:tc>
        <w:tc>
          <w:tcPr/>
          <w:p>
            <w:pPr>
              <w:pStyle w:val="Compact"/>
              <w:jc w:val="left"/>
            </w:pPr>
            <w:r>
              <w:t xml:space="preserve">rs11754268</w:t>
            </w:r>
          </w:p>
        </w:tc>
        <w:tc>
          <w:tcPr/>
          <w:p>
            <w:pPr>
              <w:pStyle w:val="Compact"/>
              <w:jc w:val="left"/>
            </w:pPr>
            <w:r>
              <w:t xml:space="preserve">Candidate (single-outcome coloc)</w:t>
            </w:r>
          </w:p>
        </w:tc>
      </w:tr>
    </w:tbl>
    <w:p>
      <w:pPr>
        <w:pStyle w:val="BodyText"/>
      </w:pPr>
      <w:r>
        <w:rPr>
          <w:iCs/>
          <w:i/>
        </w:rPr>
        <w:t xml:space="preserve">Effect estimates (β, log-odds) by Wald ratio (single instrument) or inverse-variance weighted (multiple instruments).</w:t>
      </w:r>
      <w:r>
        <w:rPr>
          <w:iCs/>
          <w:i/>
        </w:rPr>
        <w:t xml:space="preserve"> </w:t>
      </w:r>
      <w:r>
        <w:rPr>
          <w:iCs/>
          <w:i/>
        </w:rPr>
        <w:t xml:space="preserve">“</w:t>
      </w:r>
      <w:r>
        <w:rPr>
          <w:iCs/>
          <w:i/>
        </w:rPr>
        <w:t xml:space="preserve">—</w:t>
      </w:r>
      <w:r>
        <w:rPr>
          <w:iCs/>
          <w:i/>
        </w:rPr>
        <w:t xml:space="preserve">”</w:t>
      </w:r>
      <w:r>
        <w:rPr>
          <w:iCs/>
          <w:i/>
        </w:rPr>
        <w:t xml:space="preserve"> </w:t>
      </w:r>
      <w:r>
        <w:rPr>
          <w:iCs/>
          <w:i/>
        </w:rPr>
        <w:t xml:space="preserve">for FinnGen</w:t>
      </w:r>
      <w:r>
        <w:rPr>
          <w:iCs/>
          <w:i/>
        </w:rPr>
        <w:t xml:space="preserve"> </w:t>
      </w:r>
      <w:r>
        <w:t xml:space="preserve">VKORC1* indicates no estimable instrument in that outcome;</w:t>
      </w:r>
      <w:r>
        <w:t xml:space="preserve"> </w:t>
      </w:r>
      <w:r>
        <w:t xml:space="preserve">“</w:t>
      </w:r>
      <w:r>
        <w:t xml:space="preserve">—</w:t>
      </w:r>
      <w:r>
        <w:t xml:space="preserve">”</w:t>
      </w:r>
      <w:r>
        <w:t xml:space="preserve"> </w:t>
      </w:r>
      <w:r>
        <w:t xml:space="preserve">in the colocalization column denotes MHC-region loci not carried into formal colocalization. Several discovery hits do not reproduce in the broader-phenotype (UKB) or TED-enriched (FinnGen) outcomes. Among non-MHC established anchors,</w:t>
      </w:r>
      <w:r>
        <w:t xml:space="preserve"> </w:t>
      </w:r>
      <w:r>
        <w:rPr>
          <w:iCs/>
          <w:i/>
        </w:rPr>
        <w:t xml:space="preserve">TSHR</w:t>
      </w:r>
      <w:r>
        <w:t xml:space="preserve"> </w:t>
      </w:r>
      <w:r>
        <w:t xml:space="preserve">and</w:t>
      </w:r>
      <w:r>
        <w:t xml:space="preserve"> </w:t>
      </w:r>
      <w:r>
        <w:rPr>
          <w:iCs/>
          <w:i/>
        </w:rPr>
        <w:t xml:space="preserve">CTLA4</w:t>
      </w:r>
      <w:r>
        <w:t xml:space="preserve"> </w:t>
      </w:r>
      <w:r>
        <w:t xml:space="preserve">showed consistent protective-direction estimates across all three outcomes; MHC-region signals were interpreted separately because of complex regional linkage disequilibrium.</w:t>
      </w:r>
      <w:r>
        <w:rPr>
          <w:iCs/>
          <w:i/>
        </w:rPr>
        <w:t xml:space="preserve"> </w:t>
      </w:r>
      <w:r>
        <w:rPr>
          <w:iCs/>
          <w:i/>
        </w:rPr>
        <w:t xml:space="preserve">-</w:t>
      </w:r>
      <w:r>
        <w:rPr>
          <w:iCs/>
          <w:i/>
        </w:rPr>
        <w:t xml:space="preserve"> </w:t>
      </w:r>
      <w:r>
        <w:rPr>
          <w:bCs/>
          <w:b/>
          <w:iCs/>
          <w:i/>
        </w:rPr>
        <w:t xml:space="preserve">Table S2.</w:t>
      </w:r>
      <w:r>
        <w:rPr>
          <w:iCs/>
          <w:i/>
        </w:rPr>
        <w:t xml:space="preserve"> </w:t>
      </w:r>
      <w:r>
        <w:rPr>
          <w:iCs/>
          <w:i/>
        </w:rPr>
        <w:t xml:space="preserve">Candidate colocalization across all three outcomes for non-known candidate hits. Posterior probabilities are from coloc.abf using beta and varbeta with ancestry-matched allele frequencies (H0 no association; H1 outcome only; H2</w:t>
      </w:r>
      <w:r>
        <w:rPr>
          <w:iCs/>
          <w:i/>
        </w:rPr>
        <w:t xml:space="preserve"> </w:t>
      </w:r>
      <w:r>
        <w:t xml:space="preserve">cis*-eQTL only; H3 distinct causal variants; H4 shared causal variant). The last two columns give PP.H4 under more conservative priors.</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TNFSF14</w:t>
            </w:r>
          </w:p>
        </w:tc>
        <w:tc>
          <w:tcPr/>
          <w:p>
            <w:pPr>
              <w:pStyle w:val="Compact"/>
              <w:jc w:val="left"/>
            </w:pPr>
            <w:r>
              <w:t xml:space="preserve">BBJ Graves</w:t>
            </w:r>
          </w:p>
        </w:tc>
        <w:tc>
          <w:tcPr/>
          <w:p>
            <w:pPr>
              <w:pStyle w:val="Compact"/>
              <w:jc w:val="left"/>
            </w:pPr>
            <w:r>
              <w:t xml:space="preserve">4,790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0.994</w:t>
            </w:r>
          </w:p>
        </w:tc>
        <w:tc>
          <w:tcPr/>
          <w:p>
            <w:pPr>
              <w:pStyle w:val="Compact"/>
              <w:jc w:val="left"/>
            </w:pPr>
            <w:r>
              <w:t xml:space="preserve">rs2291668</w:t>
            </w:r>
          </w:p>
        </w:tc>
        <w:tc>
          <w:tcPr/>
          <w:p>
            <w:pPr>
              <w:pStyle w:val="Compact"/>
              <w:jc w:val="left"/>
            </w:pPr>
            <w:r>
              <w:t xml:space="preserve">0.941</w:t>
            </w:r>
          </w:p>
        </w:tc>
        <w:tc>
          <w:tcPr/>
          <w:p>
            <w:pPr>
              <w:pStyle w:val="Compact"/>
              <w:jc w:val="left"/>
            </w:pPr>
            <w:r>
              <w:t xml:space="preserve">0.988</w:t>
            </w:r>
          </w:p>
        </w:tc>
      </w:tr>
      <w:tr>
        <w:tc>
          <w:tcPr/>
          <w:p>
            <w:pPr>
              <w:pStyle w:val="Compact"/>
              <w:jc w:val="left"/>
            </w:pPr>
            <w:r>
              <w:rPr>
                <w:iCs/>
                <w:i/>
              </w:rPr>
              <w:t xml:space="preserve">TNFSF14</w:t>
            </w:r>
          </w:p>
        </w:tc>
        <w:tc>
          <w:tcPr/>
          <w:p>
            <w:pPr>
              <w:pStyle w:val="Compact"/>
              <w:jc w:val="left"/>
            </w:pPr>
            <w:r>
              <w:t xml:space="preserve">UKB hyperthyroid</w:t>
            </w:r>
          </w:p>
        </w:tc>
        <w:tc>
          <w:tcPr/>
          <w:p>
            <w:pPr>
              <w:pStyle w:val="Compact"/>
              <w:jc w:val="left"/>
            </w:pPr>
            <w:r>
              <w:t xml:space="preserve">7,197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0.360</w:t>
            </w:r>
          </w:p>
        </w:tc>
        <w:tc>
          <w:tcPr/>
          <w:p>
            <w:pPr>
              <w:pStyle w:val="Compact"/>
              <w:jc w:val="left"/>
            </w:pPr>
            <w:r>
              <w:t xml:space="preserve">0.403</w:t>
            </w:r>
          </w:p>
        </w:tc>
        <w:tc>
          <w:tcPr/>
          <w:p>
            <w:pPr>
              <w:pStyle w:val="Compact"/>
              <w:jc w:val="left"/>
            </w:pPr>
            <w:r>
              <w:t xml:space="preserve">0.237</w:t>
            </w:r>
          </w:p>
        </w:tc>
        <w:tc>
          <w:tcPr/>
          <w:p>
            <w:pPr>
              <w:pStyle w:val="Compact"/>
              <w:jc w:val="left"/>
            </w:pPr>
            <w:r>
              <w:t xml:space="preserve">rs2291668</w:t>
            </w:r>
          </w:p>
        </w:tc>
        <w:tc>
          <w:tcPr/>
          <w:p>
            <w:pPr>
              <w:pStyle w:val="Compact"/>
              <w:jc w:val="left"/>
            </w:pPr>
            <w:r>
              <w:t xml:space="preserve">0.030</w:t>
            </w:r>
          </w:p>
        </w:tc>
        <w:tc>
          <w:tcPr/>
          <w:p>
            <w:pPr>
              <w:pStyle w:val="Compact"/>
              <w:jc w:val="left"/>
            </w:pPr>
            <w:r>
              <w:t xml:space="preserve">0.134</w:t>
            </w:r>
          </w:p>
        </w:tc>
      </w:tr>
      <w:tr>
        <w:tc>
          <w:tcPr/>
          <w:p>
            <w:pPr>
              <w:pStyle w:val="Compact"/>
              <w:jc w:val="left"/>
            </w:pPr>
            <w:r>
              <w:rPr>
                <w:iCs/>
                <w:i/>
              </w:rPr>
              <w:t xml:space="preserve">TNFSF14</w:t>
            </w:r>
          </w:p>
        </w:tc>
        <w:tc>
          <w:tcPr/>
          <w:p>
            <w:pPr>
              <w:pStyle w:val="Compact"/>
              <w:jc w:val="left"/>
            </w:pPr>
            <w:r>
              <w:t xml:space="preserve">FinnGen GO</w:t>
            </w:r>
          </w:p>
        </w:tc>
        <w:tc>
          <w:tcPr/>
          <w:p>
            <w:pPr>
              <w:pStyle w:val="Compact"/>
              <w:jc w:val="left"/>
            </w:pPr>
            <w:r>
              <w:t xml:space="preserve">7,703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0.626</w:t>
            </w:r>
          </w:p>
        </w:tc>
        <w:tc>
          <w:tcPr/>
          <w:p>
            <w:pPr>
              <w:pStyle w:val="Compact"/>
              <w:jc w:val="left"/>
            </w:pPr>
            <w:r>
              <w:t xml:space="preserve">0.357</w:t>
            </w:r>
          </w:p>
        </w:tc>
        <w:tc>
          <w:tcPr/>
          <w:p>
            <w:pPr>
              <w:pStyle w:val="Compact"/>
              <w:jc w:val="left"/>
            </w:pPr>
            <w:r>
              <w:t xml:space="preserve">0.017</w:t>
            </w:r>
          </w:p>
        </w:tc>
        <w:tc>
          <w:tcPr/>
          <w:p>
            <w:pPr>
              <w:pStyle w:val="Compact"/>
              <w:jc w:val="left"/>
            </w:pPr>
            <w:r>
              <w:t xml:space="preserve">rs2291668</w:t>
            </w:r>
          </w:p>
        </w:tc>
        <w:tc>
          <w:tcPr/>
          <w:p>
            <w:pPr>
              <w:pStyle w:val="Compact"/>
              <w:jc w:val="left"/>
            </w:pPr>
            <w:r>
              <w:t xml:space="preserve">0.002</w:t>
            </w:r>
          </w:p>
        </w:tc>
        <w:tc>
          <w:tcPr/>
          <w:p>
            <w:pPr>
              <w:pStyle w:val="Compact"/>
              <w:jc w:val="left"/>
            </w:pPr>
            <w:r>
              <w:t xml:space="preserve">0.009</w:t>
            </w:r>
          </w:p>
        </w:tc>
      </w:tr>
      <w:tr>
        <w:tc>
          <w:tcPr/>
          <w:p>
            <w:pPr>
              <w:pStyle w:val="Compact"/>
              <w:jc w:val="left"/>
            </w:pPr>
            <w:r>
              <w:rPr>
                <w:iCs/>
                <w:i/>
              </w:rPr>
              <w:t xml:space="preserve">IFNGR1</w:t>
            </w:r>
          </w:p>
        </w:tc>
        <w:tc>
          <w:tcPr/>
          <w:p>
            <w:pPr>
              <w:pStyle w:val="Compact"/>
              <w:jc w:val="left"/>
            </w:pPr>
            <w:r>
              <w:t xml:space="preserve">BBJ Graves</w:t>
            </w:r>
          </w:p>
        </w:tc>
        <w:tc>
          <w:tcPr/>
          <w:p>
            <w:pPr>
              <w:pStyle w:val="Compact"/>
              <w:jc w:val="left"/>
            </w:pPr>
            <w:r>
              <w:t xml:space="preserve">3,973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0.989</w:t>
            </w:r>
          </w:p>
        </w:tc>
        <w:tc>
          <w:tcPr/>
          <w:p>
            <w:pPr>
              <w:pStyle w:val="Compact"/>
              <w:jc w:val="left"/>
            </w:pPr>
            <w:r>
              <w:t xml:space="preserve">rs11754268</w:t>
            </w:r>
          </w:p>
        </w:tc>
        <w:tc>
          <w:tcPr/>
          <w:p>
            <w:pPr>
              <w:pStyle w:val="Compact"/>
              <w:jc w:val="left"/>
            </w:pPr>
            <w:r>
              <w:t xml:space="preserve">0.899</w:t>
            </w:r>
          </w:p>
        </w:tc>
        <w:tc>
          <w:tcPr/>
          <w:p>
            <w:pPr>
              <w:pStyle w:val="Compact"/>
              <w:jc w:val="left"/>
            </w:pPr>
            <w:r>
              <w:t xml:space="preserve">0.978</w:t>
            </w:r>
          </w:p>
        </w:tc>
      </w:tr>
      <w:tr>
        <w:tc>
          <w:tcPr/>
          <w:p>
            <w:pPr>
              <w:pStyle w:val="Compact"/>
              <w:jc w:val="left"/>
            </w:pPr>
            <w:r>
              <w:rPr>
                <w:iCs/>
                <w:i/>
              </w:rPr>
              <w:t xml:space="preserve">IFNGR1</w:t>
            </w:r>
          </w:p>
        </w:tc>
        <w:tc>
          <w:tcPr/>
          <w:p>
            <w:pPr>
              <w:pStyle w:val="Compact"/>
              <w:jc w:val="left"/>
            </w:pPr>
            <w:r>
              <w:t xml:space="preserve">UKB hyperthyroid</w:t>
            </w:r>
          </w:p>
        </w:tc>
        <w:tc>
          <w:tcPr/>
          <w:p>
            <w:pPr>
              <w:pStyle w:val="Compact"/>
              <w:jc w:val="left"/>
            </w:pPr>
            <w:r>
              <w:t xml:space="preserve">5,145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0.736</w:t>
            </w:r>
          </w:p>
        </w:tc>
        <w:tc>
          <w:tcPr/>
          <w:p>
            <w:pPr>
              <w:pStyle w:val="Compact"/>
              <w:jc w:val="left"/>
            </w:pPr>
            <w:r>
              <w:t xml:space="preserve">0.211</w:t>
            </w:r>
          </w:p>
        </w:tc>
        <w:tc>
          <w:tcPr/>
          <w:p>
            <w:pPr>
              <w:pStyle w:val="Compact"/>
              <w:jc w:val="left"/>
            </w:pPr>
            <w:r>
              <w:t xml:space="preserve">0.052</w:t>
            </w:r>
          </w:p>
        </w:tc>
        <w:tc>
          <w:tcPr/>
          <w:p>
            <w:pPr>
              <w:pStyle w:val="Compact"/>
              <w:jc w:val="left"/>
            </w:pPr>
            <w:r>
              <w:t xml:space="preserve">rs11754268</w:t>
            </w:r>
          </w:p>
        </w:tc>
        <w:tc>
          <w:tcPr/>
          <w:p>
            <w:pPr>
              <w:pStyle w:val="Compact"/>
              <w:jc w:val="left"/>
            </w:pPr>
            <w:r>
              <w:t xml:space="preserve">0.005</w:t>
            </w:r>
          </w:p>
        </w:tc>
        <w:tc>
          <w:tcPr/>
          <w:p>
            <w:pPr>
              <w:pStyle w:val="Compact"/>
              <w:jc w:val="left"/>
            </w:pPr>
            <w:r>
              <w:t xml:space="preserve">0.027</w:t>
            </w:r>
          </w:p>
        </w:tc>
      </w:tr>
      <w:tr>
        <w:tc>
          <w:tcPr/>
          <w:p>
            <w:pPr>
              <w:pStyle w:val="Compact"/>
              <w:jc w:val="left"/>
            </w:pPr>
            <w:r>
              <w:rPr>
                <w:iCs/>
                <w:i/>
              </w:rPr>
              <w:t xml:space="preserve">IFNGR1</w:t>
            </w:r>
          </w:p>
        </w:tc>
        <w:tc>
          <w:tcPr/>
          <w:p>
            <w:pPr>
              <w:pStyle w:val="Compact"/>
              <w:jc w:val="left"/>
            </w:pPr>
            <w:r>
              <w:t xml:space="preserve">FinnGen GO</w:t>
            </w:r>
          </w:p>
        </w:tc>
        <w:tc>
          <w:tcPr/>
          <w:p>
            <w:pPr>
              <w:pStyle w:val="Compact"/>
              <w:jc w:val="left"/>
            </w:pPr>
            <w:r>
              <w:t xml:space="preserve">5,891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0.641</w:t>
            </w:r>
          </w:p>
        </w:tc>
        <w:tc>
          <w:tcPr/>
          <w:p>
            <w:pPr>
              <w:pStyle w:val="Compact"/>
              <w:jc w:val="left"/>
            </w:pPr>
            <w:r>
              <w:t xml:space="preserve">0.339</w:t>
            </w:r>
          </w:p>
        </w:tc>
        <w:tc>
          <w:tcPr/>
          <w:p>
            <w:pPr>
              <w:pStyle w:val="Compact"/>
              <w:jc w:val="left"/>
            </w:pPr>
            <w:r>
              <w:t xml:space="preserve">0.020</w:t>
            </w:r>
          </w:p>
        </w:tc>
        <w:tc>
          <w:tcPr/>
          <w:p>
            <w:pPr>
              <w:pStyle w:val="Compact"/>
              <w:jc w:val="left"/>
            </w:pPr>
            <w:r>
              <w:t xml:space="preserve">rs11754268</w:t>
            </w:r>
          </w:p>
        </w:tc>
        <w:tc>
          <w:tcPr/>
          <w:p>
            <w:pPr>
              <w:pStyle w:val="Compact"/>
              <w:jc w:val="left"/>
            </w:pPr>
            <w:r>
              <w:t xml:space="preserve">0.002</w:t>
            </w:r>
          </w:p>
        </w:tc>
        <w:tc>
          <w:tcPr/>
          <w:p>
            <w:pPr>
              <w:pStyle w:val="Compact"/>
              <w:jc w:val="left"/>
            </w:pPr>
            <w:r>
              <w:t xml:space="preserve">0.010</w:t>
            </w:r>
          </w:p>
        </w:tc>
      </w:tr>
      <w:tr>
        <w:tc>
          <w:tcPr/>
          <w:p>
            <w:pPr>
              <w:pStyle w:val="Compact"/>
              <w:jc w:val="left"/>
            </w:pPr>
            <w:r>
              <w:rPr>
                <w:iCs/>
                <w:i/>
              </w:rPr>
              <w:t xml:space="preserve">MAPKAPK5</w:t>
            </w:r>
          </w:p>
        </w:tc>
        <w:tc>
          <w:tcPr/>
          <w:p>
            <w:pPr>
              <w:pStyle w:val="Compact"/>
              <w:jc w:val="left"/>
            </w:pPr>
            <w:r>
              <w:t xml:space="preserve">BBJ Graves</w:t>
            </w:r>
          </w:p>
        </w:tc>
        <w:tc>
          <w:tcPr/>
          <w:p>
            <w:pPr>
              <w:pStyle w:val="Compact"/>
              <w:jc w:val="left"/>
            </w:pPr>
            <w:r>
              <w:t xml:space="preserve">2,077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1.000</w:t>
            </w:r>
          </w:p>
        </w:tc>
        <w:tc>
          <w:tcPr/>
          <w:p>
            <w:pPr>
              <w:pStyle w:val="Compact"/>
              <w:jc w:val="left"/>
            </w:pPr>
            <w:r>
              <w:t xml:space="preserve">0.000</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0.000</w:t>
            </w:r>
          </w:p>
        </w:tc>
      </w:tr>
      <w:tr>
        <w:tc>
          <w:tcPr/>
          <w:p>
            <w:pPr>
              <w:pStyle w:val="Compact"/>
              <w:jc w:val="left"/>
            </w:pPr>
            <w:r>
              <w:rPr>
                <w:iCs/>
                <w:i/>
              </w:rPr>
              <w:t xml:space="preserve">MAPKAPK5</w:t>
            </w:r>
          </w:p>
        </w:tc>
        <w:tc>
          <w:tcPr/>
          <w:p>
            <w:pPr>
              <w:pStyle w:val="Compact"/>
              <w:jc w:val="left"/>
            </w:pPr>
            <w:r>
              <w:t xml:space="preserve">UKB hyperthyroid</w:t>
            </w:r>
          </w:p>
        </w:tc>
        <w:tc>
          <w:tcPr/>
          <w:p>
            <w:pPr>
              <w:pStyle w:val="Compact"/>
              <w:jc w:val="left"/>
            </w:pPr>
            <w:r>
              <w:t xml:space="preserve">2,763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0.052</w:t>
            </w:r>
          </w:p>
        </w:tc>
        <w:tc>
          <w:tcPr/>
          <w:p>
            <w:pPr>
              <w:pStyle w:val="Compact"/>
              <w:jc w:val="left"/>
            </w:pPr>
            <w:r>
              <w:t xml:space="preserve">0.944</w:t>
            </w:r>
          </w:p>
        </w:tc>
        <w:tc>
          <w:tcPr/>
          <w:p>
            <w:pPr>
              <w:pStyle w:val="Compact"/>
              <w:jc w:val="left"/>
            </w:pPr>
            <w:r>
              <w:t xml:space="preserve">0.005</w:t>
            </w:r>
          </w:p>
        </w:tc>
        <w:tc>
          <w:tcPr/>
          <w:p>
            <w:pPr>
              <w:pStyle w:val="Compact"/>
              <w:jc w:val="left"/>
            </w:pPr>
            <w:r>
              <w:t xml:space="preserve">rs79271898</w:t>
            </w:r>
          </w:p>
        </w:tc>
        <w:tc>
          <w:tcPr/>
          <w:p>
            <w:pPr>
              <w:pStyle w:val="Compact"/>
              <w:jc w:val="left"/>
            </w:pPr>
            <w:r>
              <w:t xml:space="preserve">0.000</w:t>
            </w:r>
          </w:p>
        </w:tc>
        <w:tc>
          <w:tcPr/>
          <w:p>
            <w:pPr>
              <w:pStyle w:val="Compact"/>
              <w:jc w:val="left"/>
            </w:pPr>
            <w:r>
              <w:t xml:space="preserve">0.002</w:t>
            </w:r>
          </w:p>
        </w:tc>
      </w:tr>
      <w:tr>
        <w:tc>
          <w:tcPr/>
          <w:p>
            <w:pPr>
              <w:pStyle w:val="Compact"/>
              <w:jc w:val="left"/>
            </w:pPr>
            <w:r>
              <w:rPr>
                <w:iCs/>
                <w:i/>
              </w:rPr>
              <w:t xml:space="preserve">MAPKAPK5</w:t>
            </w:r>
          </w:p>
        </w:tc>
        <w:tc>
          <w:tcPr/>
          <w:p>
            <w:pPr>
              <w:pStyle w:val="Compact"/>
              <w:jc w:val="left"/>
            </w:pPr>
            <w:r>
              <w:t xml:space="preserve">FinnGen GO</w:t>
            </w:r>
          </w:p>
        </w:tc>
        <w:tc>
          <w:tcPr/>
          <w:p>
            <w:pPr>
              <w:pStyle w:val="Compact"/>
              <w:jc w:val="left"/>
            </w:pPr>
            <w:r>
              <w:t xml:space="preserve">3,294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0.663</w:t>
            </w:r>
          </w:p>
        </w:tc>
        <w:tc>
          <w:tcPr/>
          <w:p>
            <w:pPr>
              <w:pStyle w:val="Compact"/>
              <w:jc w:val="left"/>
            </w:pPr>
            <w:r>
              <w:t xml:space="preserve">0.311</w:t>
            </w:r>
          </w:p>
        </w:tc>
        <w:tc>
          <w:tcPr/>
          <w:p>
            <w:pPr>
              <w:pStyle w:val="Compact"/>
              <w:jc w:val="left"/>
            </w:pPr>
            <w:r>
              <w:t xml:space="preserve">0.026</w:t>
            </w:r>
          </w:p>
        </w:tc>
        <w:tc>
          <w:tcPr/>
          <w:p>
            <w:pPr>
              <w:pStyle w:val="Compact"/>
              <w:jc w:val="left"/>
            </w:pPr>
            <w:r>
              <w:t xml:space="preserve">rs79271898</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HSD3B7</w:t>
            </w:r>
          </w:p>
        </w:tc>
        <w:tc>
          <w:tcPr/>
          <w:p>
            <w:pPr>
              <w:pStyle w:val="Compact"/>
              <w:jc w:val="left"/>
            </w:pPr>
            <w:r>
              <w:t xml:space="preserve">BBJ Graves</w:t>
            </w:r>
          </w:p>
        </w:tc>
        <w:tc>
          <w:tcPr/>
          <w:p>
            <w:pPr>
              <w:pStyle w:val="Compact"/>
              <w:jc w:val="left"/>
            </w:pPr>
            <w:r>
              <w:t xml:space="preserve">1,630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0.364</w:t>
            </w:r>
          </w:p>
        </w:tc>
        <w:tc>
          <w:tcPr/>
          <w:p>
            <w:pPr>
              <w:pStyle w:val="Compact"/>
              <w:jc w:val="left"/>
            </w:pPr>
            <w:r>
              <w:t xml:space="preserve">0.636</w:t>
            </w:r>
          </w:p>
        </w:tc>
        <w:tc>
          <w:tcPr/>
          <w:p>
            <w:pPr>
              <w:pStyle w:val="Compact"/>
              <w:jc w:val="left"/>
            </w:pPr>
            <w:r>
              <w:t xml:space="preserve">rs4889606</w:t>
            </w:r>
          </w:p>
        </w:tc>
        <w:tc>
          <w:tcPr/>
          <w:p>
            <w:pPr>
              <w:pStyle w:val="Compact"/>
              <w:jc w:val="left"/>
            </w:pPr>
            <w:r>
              <w:t xml:space="preserve">0.149</w:t>
            </w:r>
          </w:p>
        </w:tc>
        <w:tc>
          <w:tcPr/>
          <w:p>
            <w:pPr>
              <w:pStyle w:val="Compact"/>
              <w:jc w:val="left"/>
            </w:pPr>
            <w:r>
              <w:t xml:space="preserve">0.467</w:t>
            </w:r>
          </w:p>
        </w:tc>
      </w:tr>
      <w:tr>
        <w:tc>
          <w:tcPr/>
          <w:p>
            <w:pPr>
              <w:pStyle w:val="Compact"/>
              <w:jc w:val="left"/>
            </w:pPr>
            <w:r>
              <w:rPr>
                <w:iCs/>
                <w:i/>
              </w:rPr>
              <w:t xml:space="preserve">HSD3B7</w:t>
            </w:r>
          </w:p>
        </w:tc>
        <w:tc>
          <w:tcPr/>
          <w:p>
            <w:pPr>
              <w:pStyle w:val="Compact"/>
              <w:jc w:val="left"/>
            </w:pPr>
            <w:r>
              <w:t xml:space="preserve">UKB hyperthyroid</w:t>
            </w:r>
          </w:p>
        </w:tc>
        <w:tc>
          <w:tcPr/>
          <w:p>
            <w:pPr>
              <w:pStyle w:val="Compact"/>
              <w:jc w:val="left"/>
            </w:pPr>
            <w:r>
              <w:t xml:space="preserve">2,755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0.444</w:t>
            </w:r>
          </w:p>
        </w:tc>
        <w:tc>
          <w:tcPr/>
          <w:p>
            <w:pPr>
              <w:pStyle w:val="Compact"/>
              <w:jc w:val="left"/>
            </w:pPr>
            <w:r>
              <w:t xml:space="preserve">0.461</w:t>
            </w:r>
          </w:p>
        </w:tc>
        <w:tc>
          <w:tcPr/>
          <w:p>
            <w:pPr>
              <w:pStyle w:val="Compact"/>
              <w:jc w:val="left"/>
            </w:pPr>
            <w:r>
              <w:t xml:space="preserve">0.095</w:t>
            </w:r>
          </w:p>
        </w:tc>
        <w:tc>
          <w:tcPr/>
          <w:p>
            <w:pPr>
              <w:pStyle w:val="Compact"/>
              <w:jc w:val="left"/>
            </w:pPr>
            <w:r>
              <w:t xml:space="preserve">rs4889606</w:t>
            </w:r>
          </w:p>
        </w:tc>
        <w:tc>
          <w:tcPr/>
          <w:p>
            <w:pPr>
              <w:pStyle w:val="Compact"/>
              <w:jc w:val="left"/>
            </w:pPr>
            <w:r>
              <w:t xml:space="preserve">0.010</w:t>
            </w:r>
          </w:p>
        </w:tc>
        <w:tc>
          <w:tcPr/>
          <w:p>
            <w:pPr>
              <w:pStyle w:val="Compact"/>
              <w:jc w:val="left"/>
            </w:pPr>
            <w:r>
              <w:t xml:space="preserve">0.050</w:t>
            </w:r>
          </w:p>
        </w:tc>
      </w:tr>
      <w:tr>
        <w:tc>
          <w:tcPr/>
          <w:p>
            <w:pPr>
              <w:pStyle w:val="Compact"/>
              <w:jc w:val="left"/>
            </w:pPr>
            <w:r>
              <w:rPr>
                <w:iCs/>
                <w:i/>
              </w:rPr>
              <w:t xml:space="preserve">HSD3B7</w:t>
            </w:r>
          </w:p>
        </w:tc>
        <w:tc>
          <w:tcPr/>
          <w:p>
            <w:pPr>
              <w:pStyle w:val="Compact"/>
              <w:jc w:val="left"/>
            </w:pPr>
            <w:r>
              <w:t xml:space="preserve">FinnGen GO</w:t>
            </w:r>
          </w:p>
        </w:tc>
        <w:tc>
          <w:tcPr/>
          <w:p>
            <w:pPr>
              <w:pStyle w:val="Compact"/>
              <w:jc w:val="left"/>
            </w:pPr>
            <w:r>
              <w:t xml:space="preserve">3,104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0.733</w:t>
            </w:r>
          </w:p>
        </w:tc>
        <w:tc>
          <w:tcPr/>
          <w:p>
            <w:pPr>
              <w:pStyle w:val="Compact"/>
              <w:jc w:val="left"/>
            </w:pPr>
            <w:r>
              <w:t xml:space="preserve">0.240</w:t>
            </w:r>
          </w:p>
        </w:tc>
        <w:tc>
          <w:tcPr/>
          <w:p>
            <w:pPr>
              <w:pStyle w:val="Compact"/>
              <w:jc w:val="left"/>
            </w:pPr>
            <w:r>
              <w:t xml:space="preserve">0.026</w:t>
            </w:r>
          </w:p>
        </w:tc>
        <w:tc>
          <w:tcPr/>
          <w:p>
            <w:pPr>
              <w:pStyle w:val="Compact"/>
              <w:jc w:val="left"/>
            </w:pPr>
            <w:r>
              <w:t xml:space="preserve">rs4889606</w:t>
            </w:r>
          </w:p>
        </w:tc>
        <w:tc>
          <w:tcPr/>
          <w:p>
            <w:pPr>
              <w:pStyle w:val="Compact"/>
              <w:jc w:val="left"/>
            </w:pPr>
            <w:r>
              <w:t xml:space="preserve">0.003</w:t>
            </w:r>
          </w:p>
        </w:tc>
        <w:tc>
          <w:tcPr/>
          <w:p>
            <w:pPr>
              <w:pStyle w:val="Compact"/>
              <w:jc w:val="left"/>
            </w:pPr>
            <w:r>
              <w:t xml:space="preserve">0.013</w:t>
            </w:r>
          </w:p>
        </w:tc>
      </w:tr>
      <w:tr>
        <w:tc>
          <w:tcPr/>
          <w:p>
            <w:pPr>
              <w:pStyle w:val="Compact"/>
              <w:jc w:val="left"/>
            </w:pPr>
            <w:r>
              <w:rPr>
                <w:iCs/>
                <w:i/>
              </w:rPr>
              <w:t xml:space="preserve">VKORC1</w:t>
            </w:r>
          </w:p>
        </w:tc>
        <w:tc>
          <w:tcPr/>
          <w:p>
            <w:pPr>
              <w:pStyle w:val="Compact"/>
              <w:jc w:val="left"/>
            </w:pPr>
            <w:r>
              <w:t xml:space="preserve">BBJ Graves</w:t>
            </w:r>
          </w:p>
        </w:tc>
        <w:tc>
          <w:tcPr/>
          <w:p>
            <w:pPr>
              <w:pStyle w:val="Compact"/>
              <w:jc w:val="left"/>
            </w:pPr>
            <w:r>
              <w:t xml:space="preserve">1,516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0.612</w:t>
            </w:r>
          </w:p>
        </w:tc>
        <w:tc>
          <w:tcPr/>
          <w:p>
            <w:pPr>
              <w:pStyle w:val="Compact"/>
              <w:jc w:val="left"/>
            </w:pPr>
            <w:r>
              <w:t xml:space="preserve">0.388</w:t>
            </w:r>
          </w:p>
        </w:tc>
        <w:tc>
          <w:tcPr/>
          <w:p>
            <w:pPr>
              <w:pStyle w:val="Compact"/>
              <w:jc w:val="left"/>
            </w:pPr>
            <w:r>
              <w:t xml:space="preserve">rs34649473</w:t>
            </w:r>
          </w:p>
        </w:tc>
        <w:tc>
          <w:tcPr/>
          <w:p>
            <w:pPr>
              <w:pStyle w:val="Compact"/>
              <w:jc w:val="left"/>
            </w:pPr>
            <w:r>
              <w:t xml:space="preserve">0.060</w:t>
            </w:r>
          </w:p>
        </w:tc>
        <w:tc>
          <w:tcPr/>
          <w:p>
            <w:pPr>
              <w:pStyle w:val="Compact"/>
              <w:jc w:val="left"/>
            </w:pPr>
            <w:r>
              <w:t xml:space="preserve">0.241</w:t>
            </w:r>
          </w:p>
        </w:tc>
      </w:tr>
      <w:tr>
        <w:tc>
          <w:tcPr/>
          <w:p>
            <w:pPr>
              <w:pStyle w:val="Compact"/>
              <w:jc w:val="left"/>
            </w:pPr>
            <w:r>
              <w:rPr>
                <w:iCs/>
                <w:i/>
              </w:rPr>
              <w:t xml:space="preserve">VKORC1</w:t>
            </w:r>
          </w:p>
        </w:tc>
        <w:tc>
          <w:tcPr/>
          <w:p>
            <w:pPr>
              <w:pStyle w:val="Compact"/>
              <w:jc w:val="left"/>
            </w:pPr>
            <w:r>
              <w:t xml:space="preserve">UKB hyperthyroid</w:t>
            </w:r>
          </w:p>
        </w:tc>
        <w:tc>
          <w:tcPr/>
          <w:p>
            <w:pPr>
              <w:pStyle w:val="Compact"/>
              <w:jc w:val="left"/>
            </w:pPr>
            <w:r>
              <w:t xml:space="preserve">2,644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0.477</w:t>
            </w:r>
          </w:p>
        </w:tc>
        <w:tc>
          <w:tcPr/>
          <w:p>
            <w:pPr>
              <w:pStyle w:val="Compact"/>
              <w:jc w:val="left"/>
            </w:pPr>
            <w:r>
              <w:t xml:space="preserve">0.493</w:t>
            </w:r>
          </w:p>
        </w:tc>
        <w:tc>
          <w:tcPr/>
          <w:p>
            <w:pPr>
              <w:pStyle w:val="Compact"/>
              <w:jc w:val="left"/>
            </w:pPr>
            <w:r>
              <w:t xml:space="preserve">0.030</w:t>
            </w:r>
          </w:p>
        </w:tc>
        <w:tc>
          <w:tcPr/>
          <w:p>
            <w:pPr>
              <w:pStyle w:val="Compact"/>
              <w:jc w:val="left"/>
            </w:pPr>
            <w:r>
              <w:t xml:space="preserve">rs34649473</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VKORC1</w:t>
            </w:r>
          </w:p>
        </w:tc>
        <w:tc>
          <w:tcPr/>
          <w:p>
            <w:pPr>
              <w:pStyle w:val="Compact"/>
              <w:jc w:val="left"/>
            </w:pPr>
            <w:r>
              <w:t xml:space="preserve">FinnGen GO</w:t>
            </w:r>
          </w:p>
        </w:tc>
        <w:tc>
          <w:tcPr/>
          <w:p>
            <w:pPr>
              <w:pStyle w:val="Compact"/>
              <w:jc w:val="left"/>
            </w:pPr>
            <w:r>
              <w:t xml:space="preserve">2,961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0.739</w:t>
            </w:r>
          </w:p>
        </w:tc>
        <w:tc>
          <w:tcPr/>
          <w:p>
            <w:pPr>
              <w:pStyle w:val="Compact"/>
              <w:jc w:val="left"/>
            </w:pPr>
            <w:r>
              <w:t xml:space="preserve">0.231</w:t>
            </w:r>
          </w:p>
        </w:tc>
        <w:tc>
          <w:tcPr/>
          <w:p>
            <w:pPr>
              <w:pStyle w:val="Compact"/>
              <w:jc w:val="left"/>
            </w:pPr>
            <w:r>
              <w:t xml:space="preserve">0.030</w:t>
            </w:r>
          </w:p>
        </w:tc>
        <w:tc>
          <w:tcPr/>
          <w:p>
            <w:pPr>
              <w:pStyle w:val="Compact"/>
              <w:jc w:val="left"/>
            </w:pPr>
            <w:r>
              <w:t xml:space="preserve">rs2884737</w:t>
            </w:r>
          </w:p>
        </w:tc>
        <w:tc>
          <w:tcPr/>
          <w:p>
            <w:pPr>
              <w:pStyle w:val="Compact"/>
              <w:jc w:val="left"/>
            </w:pPr>
            <w:r>
              <w:t xml:space="preserve">0.003</w:t>
            </w:r>
          </w:p>
        </w:tc>
        <w:tc>
          <w:tcPr/>
          <w:p>
            <w:pPr>
              <w:pStyle w:val="Compact"/>
              <w:jc w:val="left"/>
            </w:pPr>
            <w:r>
              <w:t xml:space="preserve">0.015</w:t>
            </w:r>
          </w:p>
        </w:tc>
      </w:tr>
      <w:tr>
        <w:tc>
          <w:tcPr/>
          <w:p>
            <w:pPr>
              <w:pStyle w:val="Compact"/>
              <w:jc w:val="left"/>
            </w:pPr>
            <w:r>
              <w:rPr>
                <w:iCs/>
                <w:i/>
              </w:rPr>
              <w:t xml:space="preserve">PRSS36</w:t>
            </w:r>
          </w:p>
        </w:tc>
        <w:tc>
          <w:tcPr/>
          <w:p>
            <w:pPr>
              <w:pStyle w:val="Compact"/>
              <w:jc w:val="left"/>
            </w:pPr>
            <w:r>
              <w:t xml:space="preserve">BBJ Graves</w:t>
            </w:r>
          </w:p>
        </w:tc>
        <w:tc>
          <w:tcPr/>
          <w:p>
            <w:pPr>
              <w:pStyle w:val="Compact"/>
              <w:jc w:val="left"/>
            </w:pPr>
            <w:r>
              <w:t xml:space="preserve">1,479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0.832</w:t>
            </w:r>
          </w:p>
        </w:tc>
        <w:tc>
          <w:tcPr/>
          <w:p>
            <w:pPr>
              <w:pStyle w:val="Compact"/>
              <w:jc w:val="left"/>
            </w:pPr>
            <w:r>
              <w:t xml:space="preserve">0.168</w:t>
            </w:r>
          </w:p>
        </w:tc>
        <w:tc>
          <w:tcPr/>
          <w:p>
            <w:pPr>
              <w:pStyle w:val="Compact"/>
              <w:jc w:val="left"/>
            </w:pPr>
            <w:r>
              <w:t xml:space="preserve">rs78924645</w:t>
            </w:r>
          </w:p>
        </w:tc>
        <w:tc>
          <w:tcPr/>
          <w:p>
            <w:pPr>
              <w:pStyle w:val="Compact"/>
              <w:jc w:val="left"/>
            </w:pPr>
            <w:r>
              <w:t xml:space="preserve">0.020</w:t>
            </w:r>
          </w:p>
        </w:tc>
        <w:tc>
          <w:tcPr/>
          <w:p>
            <w:pPr>
              <w:pStyle w:val="Compact"/>
              <w:jc w:val="left"/>
            </w:pPr>
            <w:r>
              <w:t xml:space="preserve">0.092</w:t>
            </w:r>
          </w:p>
        </w:tc>
      </w:tr>
      <w:tr>
        <w:tc>
          <w:tcPr/>
          <w:p>
            <w:pPr>
              <w:pStyle w:val="Compact"/>
              <w:jc w:val="left"/>
            </w:pPr>
            <w:r>
              <w:rPr>
                <w:iCs/>
                <w:i/>
              </w:rPr>
              <w:t xml:space="preserve">PRSS36</w:t>
            </w:r>
          </w:p>
        </w:tc>
        <w:tc>
          <w:tcPr/>
          <w:p>
            <w:pPr>
              <w:pStyle w:val="Compact"/>
              <w:jc w:val="left"/>
            </w:pPr>
            <w:r>
              <w:t xml:space="preserve">UKB hyperthyroid</w:t>
            </w:r>
          </w:p>
        </w:tc>
        <w:tc>
          <w:tcPr/>
          <w:p>
            <w:pPr>
              <w:pStyle w:val="Compact"/>
              <w:jc w:val="left"/>
            </w:pPr>
            <w:r>
              <w:t xml:space="preserve">2,577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0.436</w:t>
            </w:r>
          </w:p>
        </w:tc>
        <w:tc>
          <w:tcPr/>
          <w:p>
            <w:pPr>
              <w:pStyle w:val="Compact"/>
              <w:jc w:val="left"/>
            </w:pPr>
            <w:r>
              <w:t xml:space="preserve">0.449</w:t>
            </w:r>
          </w:p>
        </w:tc>
        <w:tc>
          <w:tcPr/>
          <w:p>
            <w:pPr>
              <w:pStyle w:val="Compact"/>
              <w:jc w:val="left"/>
            </w:pPr>
            <w:r>
              <w:t xml:space="preserve">0.115</w:t>
            </w:r>
          </w:p>
        </w:tc>
        <w:tc>
          <w:tcPr/>
          <w:p>
            <w:pPr>
              <w:pStyle w:val="Compact"/>
              <w:jc w:val="left"/>
            </w:pPr>
            <w:r>
              <w:t xml:space="preserve">rs78924645</w:t>
            </w:r>
          </w:p>
        </w:tc>
        <w:tc>
          <w:tcPr/>
          <w:p>
            <w:pPr>
              <w:pStyle w:val="Compact"/>
              <w:jc w:val="left"/>
            </w:pPr>
            <w:r>
              <w:t xml:space="preserve">0.013</w:t>
            </w:r>
          </w:p>
        </w:tc>
        <w:tc>
          <w:tcPr/>
          <w:p>
            <w:pPr>
              <w:pStyle w:val="Compact"/>
              <w:jc w:val="left"/>
            </w:pPr>
            <w:r>
              <w:t xml:space="preserve">0.061</w:t>
            </w:r>
          </w:p>
        </w:tc>
      </w:tr>
      <w:tr>
        <w:tc>
          <w:tcPr/>
          <w:p>
            <w:pPr>
              <w:pStyle w:val="Compact"/>
              <w:jc w:val="left"/>
            </w:pPr>
            <w:r>
              <w:rPr>
                <w:iCs/>
                <w:i/>
              </w:rPr>
              <w:t xml:space="preserve">PRSS36</w:t>
            </w:r>
          </w:p>
        </w:tc>
        <w:tc>
          <w:tcPr/>
          <w:p>
            <w:pPr>
              <w:pStyle w:val="Compact"/>
              <w:jc w:val="left"/>
            </w:pPr>
            <w:r>
              <w:t xml:space="preserve">FinnGen GO</w:t>
            </w:r>
          </w:p>
        </w:tc>
        <w:tc>
          <w:tcPr/>
          <w:p>
            <w:pPr>
              <w:pStyle w:val="Compact"/>
              <w:jc w:val="left"/>
            </w:pPr>
            <w:r>
              <w:t xml:space="preserve">2,821</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0.744</w:t>
            </w:r>
          </w:p>
        </w:tc>
        <w:tc>
          <w:tcPr/>
          <w:p>
            <w:pPr>
              <w:pStyle w:val="Compact"/>
              <w:jc w:val="left"/>
            </w:pPr>
            <w:r>
              <w:t xml:space="preserve">0.219</w:t>
            </w:r>
          </w:p>
        </w:tc>
        <w:tc>
          <w:tcPr/>
          <w:p>
            <w:pPr>
              <w:pStyle w:val="Compact"/>
              <w:jc w:val="left"/>
            </w:pPr>
            <w:r>
              <w:t xml:space="preserve">0.037</w:t>
            </w:r>
          </w:p>
        </w:tc>
        <w:tc>
          <w:tcPr/>
          <w:p>
            <w:pPr>
              <w:pStyle w:val="Compact"/>
              <w:jc w:val="left"/>
            </w:pPr>
            <w:r>
              <w:t xml:space="preserve">rs78924645</w:t>
            </w:r>
          </w:p>
        </w:tc>
        <w:tc>
          <w:tcPr/>
          <w:p>
            <w:pPr>
              <w:pStyle w:val="Compact"/>
              <w:jc w:val="left"/>
            </w:pPr>
            <w:r>
              <w:t xml:space="preserve">0.004</w:t>
            </w:r>
          </w:p>
        </w:tc>
        <w:tc>
          <w:tcPr/>
          <w:p>
            <w:pPr>
              <w:pStyle w:val="Compact"/>
              <w:jc w:val="left"/>
            </w:pPr>
            <w:r>
              <w:t xml:space="preserve">0.019</w:t>
            </w:r>
          </w:p>
        </w:tc>
      </w:tr>
    </w:tbl>
    <w:p>
      <w:pPr>
        <w:pStyle w:val="BodyText"/>
      </w:pPr>
      <w:r>
        <w:rPr>
          <w:iCs/>
          <w:i/>
        </w:rPr>
        <w:t xml:space="preserve">No non-known candidate reached shared-variant colocalization (PP.H4 ≥ 0.80) in more than one outcome. TNFSF14 and IFNGR1 colocalized strongly in the BBJ discovery outcome (PP.H4 = 0.994 and 0.989) but not in either replication outcome, and the chromosome 16p11.2 candidates showed only weak or ambiguous colocalization throughout. TNFSF14 retains a direction-consistent nominal MR association in UKB (P = 0.0056), so its exclusion reflects the colocalization criterion rather than absence of association; locus-specific power and phenotype heterogeneity across outcomes preclude a stronger interpretation. Default priors: p1 = p2 = 1×10⁻⁴, p12 = 1×10⁻⁵.</w:t>
      </w:r>
      <w:r>
        <w:t xml:space="preserve"> </w:t>
      </w:r>
      <w:r>
        <w:t xml:space="preserve">-</w:t>
      </w:r>
      <w:r>
        <w:t xml:space="preserve"> </w:t>
      </w:r>
      <w:r>
        <w:rPr>
          <w:bCs/>
          <w:b/>
        </w:rPr>
        <w:t xml:space="preserve">Table S3.</w:t>
      </w:r>
      <w:r>
        <w:t xml:space="preserve"> </w:t>
      </w:r>
      <w:r>
        <w:rPr>
          <w:iCs/>
          <w:i/>
        </w:rPr>
        <w:t xml:space="preserve">TSHR</w:t>
      </w:r>
      <w:r>
        <w:t xml:space="preserve"> </w:t>
      </w:r>
      <w:r>
        <w:t xml:space="preserve">locus LD-clumping sensitivity. Independent-instrument counts at the</w:t>
      </w:r>
      <w:r>
        <w:t xml:space="preserve"> </w:t>
      </w:r>
      <w:r>
        <w:rPr>
          <w:iCs/>
          <w:i/>
        </w:rPr>
        <w:t xml:space="preserve">TSHR</w:t>
      </w:r>
      <w:r>
        <w:t xml:space="preserve"> </w:t>
      </w:r>
      <w:r>
        <w:t xml:space="preserve">locus under varying clumping thresholds, using ancestry-matched 1000 Genomes Phase 3 reference panels (European, n = 503; East Asian, n = 504). rs179252 (the primary instrument) is retained as the lead variant under every threshold.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eQTL P threshold</w:t>
            </w:r>
          </w:p>
        </w:tc>
        <w:tc>
          <w:tcPr/>
          <w:p>
            <w:pPr>
              <w:pStyle w:val="Compact"/>
              <w:jc w:val="left"/>
            </w:pPr>
            <w:r>
              <w:t xml:space="preserve">Clumping</w:t>
            </w:r>
            <w:r>
              <w:t xml:space="preserve"> </w:t>
            </w:r>
            <w:r>
              <w:rPr>
                <w:iCs/>
                <w:i/>
              </w:rPr>
              <w:t xml:space="preserve">r</w:t>
            </w:r>
            <w:r>
              <w:t xml:space="preserve">²</w:t>
            </w:r>
          </w:p>
        </w:tc>
        <w:tc>
          <w:tcPr/>
          <w:p>
            <w:pPr>
              <w:pStyle w:val="Compact"/>
              <w:jc w:val="left"/>
            </w:pPr>
            <w:r>
              <w:t xml:space="preserve">LD reference</w:t>
            </w:r>
          </w:p>
        </w:tc>
        <w:tc>
          <w:tcPr/>
          <w:p>
            <w:pPr>
              <w:pStyle w:val="Compact"/>
              <w:jc w:val="left"/>
            </w:pPr>
            <w:r>
              <w:t xml:space="preserve">Independent SNPs</w:t>
            </w:r>
          </w:p>
        </w:tc>
        <w:tc>
          <w:tcPr/>
          <w:p>
            <w:pPr>
              <w:pStyle w:val="Compact"/>
              <w:jc w:val="left"/>
            </w:pPr>
            <w:r>
              <w:t xml:space="preserve">Includes rs179252</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EUR</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0.01</w:t>
            </w:r>
          </w:p>
        </w:tc>
        <w:tc>
          <w:tcPr/>
          <w:p>
            <w:pPr>
              <w:pStyle w:val="Compact"/>
              <w:jc w:val="left"/>
            </w:pPr>
            <w:r>
              <w:t xml:space="preserve">EAS</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EUR</w:t>
            </w:r>
          </w:p>
        </w:tc>
        <w:tc>
          <w:tcPr/>
          <w:p>
            <w:pPr>
              <w:pStyle w:val="Compact"/>
              <w:jc w:val="left"/>
            </w:pPr>
            <w:r>
              <w:t xml:space="preserve">6</w:t>
            </w:r>
          </w:p>
        </w:tc>
        <w:tc>
          <w:tcPr/>
          <w:p>
            <w:pPr>
              <w:pStyle w:val="Compact"/>
              <w:jc w:val="left"/>
            </w:pPr>
            <w:r>
              <w:t xml:space="preserve">Yes</w:t>
            </w:r>
          </w:p>
        </w:tc>
      </w:tr>
      <w:tr>
        <w:tc>
          <w:tcPr/>
          <w:p>
            <w:pPr>
              <w:pStyle w:val="Compact"/>
              <w:jc w:val="left"/>
            </w:pPr>
            <w:r>
              <w:t xml:space="preserve">5×10⁻⁸</w:t>
            </w:r>
          </w:p>
        </w:tc>
        <w:tc>
          <w:tcPr/>
          <w:p>
            <w:pPr>
              <w:pStyle w:val="Compact"/>
              <w:jc w:val="left"/>
            </w:pPr>
            <w:r>
              <w:t xml:space="preserve">0.1</w:t>
            </w:r>
          </w:p>
        </w:tc>
        <w:tc>
          <w:tcPr/>
          <w:p>
            <w:pPr>
              <w:pStyle w:val="Compact"/>
              <w:jc w:val="left"/>
            </w:pPr>
            <w:r>
              <w:t xml:space="preserve">EAS</w:t>
            </w:r>
          </w:p>
        </w:tc>
        <w:tc>
          <w:tcPr/>
          <w:p>
            <w:pPr>
              <w:pStyle w:val="Compact"/>
              <w:jc w:val="left"/>
            </w:pPr>
            <w:r>
              <w:t xml:space="preserve">10</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EUR</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5×10⁻⁶</w:t>
            </w:r>
          </w:p>
        </w:tc>
        <w:tc>
          <w:tcPr/>
          <w:p>
            <w:pPr>
              <w:pStyle w:val="Compact"/>
              <w:jc w:val="left"/>
            </w:pPr>
            <w:r>
              <w:t xml:space="preserve">0.001</w:t>
            </w:r>
          </w:p>
        </w:tc>
        <w:tc>
          <w:tcPr/>
          <w:p>
            <w:pPr>
              <w:pStyle w:val="Compact"/>
              <w:jc w:val="left"/>
            </w:pPr>
            <w:r>
              <w:t xml:space="preserve">EAS</w:t>
            </w:r>
          </w:p>
        </w:tc>
        <w:tc>
          <w:tcPr/>
          <w:p>
            <w:pPr>
              <w:pStyle w:val="Compact"/>
              <w:jc w:val="left"/>
            </w:pPr>
            <w:r>
              <w:t xml:space="preserve">3</w:t>
            </w:r>
          </w:p>
        </w:tc>
        <w:tc>
          <w:tcPr/>
          <w:p>
            <w:pPr>
              <w:pStyle w:val="Compact"/>
              <w:jc w:val="left"/>
            </w:pPr>
            <w:r>
              <w:t xml:space="preserve">Yes</w:t>
            </w:r>
          </w:p>
        </w:tc>
      </w:tr>
    </w:tbl>
    <w:p>
      <w:pPr>
        <w:pStyle w:val="BodyText"/>
      </w:pPr>
      <w:r>
        <w:rPr>
          <w:iCs/>
          <w:i/>
        </w:rPr>
        <w:t xml:space="preserve">rs179252 (chr14:81,435,985 hg19; marginal cis-eQTL P = 2.86×10⁻⁴⁰) is retained as an index variant under all twelve threshold combinations tested. At the primary instrument-selection threshold (P &lt; 5×10⁻⁸, r² &lt; 0.001) the European reference yields a single independent instrument; further index variants appear there only as r² is relaxed. The East Asian reference yields two at the same threshold — rs179252 and rs72690955 (chr14:81,160,405; marginal P = 1.04×10⁻¹⁷; pairwise r² with rs179252 = 0.0002) — so the single-instrument treatment of TSHR follows from the European reference used for instrument selection, which matches the predominantly European eQTL panel, and not from an absence of independent signal in every ancestry. This is stated as a limitation. Because r² is invariant to allele coding, the assessment is unaffected by effect-allele orientation.</w:t>
      </w:r>
    </w:p>
    <w:p>
      <w:pPr>
        <w:numPr>
          <w:ilvl w:val="0"/>
          <w:numId w:val="1003"/>
        </w:numPr>
        <w:pStyle w:val="Compact"/>
      </w:pPr>
      <w:r>
        <w:rPr>
          <w:bCs/>
          <w:b/>
        </w:rPr>
        <w:t xml:space="preserve">Table S4.</w:t>
      </w:r>
      <w:r>
        <w:t xml:space="preserve"> </w:t>
      </w:r>
      <w:r>
        <w:t xml:space="preserve">Instrument selection and strength for the backbone genes and all thirteen discovery hits. Instruments were genome-wide significant</w:t>
      </w:r>
      <w:r>
        <w:t xml:space="preserve"> </w:t>
      </w:r>
      <w:r>
        <w:rPr>
          <w:iCs/>
          <w:i/>
        </w:rPr>
        <w:t xml:space="preserve">cis</w:t>
      </w:r>
      <w:r>
        <w:t xml:space="preserve">-eQTLs (P &lt; 5×10⁻⁸); the secondary threshold (P &lt; 5×10⁻⁶) count is shown for reference. Across all 2,544 MR-testable genes (6,135 instruments), the minimum F-statistic was 29.7, consistent with the</w:t>
      </w:r>
      <w:r>
        <w:t xml:space="preserve"> </w:t>
      </w:r>
      <w:r>
        <w:rPr>
          <w:iCs/>
          <w:i/>
        </w:rPr>
        <w:t xml:space="preserve">P</w:t>
      </w:r>
      <w:r>
        <w:t xml:space="preserve"> </w:t>
      </w:r>
      <w:r>
        <w:t xml:space="preserve">&lt; 5×10⁻⁸ selection threshold (which implies |</w:t>
      </w:r>
      <w:r>
        <w:rPr>
          <w:iCs/>
          <w:i/>
        </w:rPr>
        <w:t xml:space="preserve">Z</w:t>
      </w:r>
      <w:r>
        <w:t xml:space="preserve">| &gt; 5.45 and therefore</w:t>
      </w:r>
      <w:r>
        <w:t xml:space="preserve"> </w:t>
      </w:r>
      <w:r>
        <w:rPr>
          <w:iCs/>
          <w:i/>
        </w:rPr>
        <w:t xml:space="preserve">F</w:t>
      </w:r>
      <w:r>
        <w:t xml:space="preserve"> </w:t>
      </w:r>
      <w:r>
        <w:t xml:space="preserve">=</w:t>
      </w:r>
      <w:r>
        <w:t xml:space="preserve"> </w:t>
      </w:r>
      <w:r>
        <w:rPr>
          <w:iCs/>
          <w:i/>
        </w:rPr>
        <w:t xml:space="preserve">Z</w:t>
      </w:r>
      <w:r>
        <w:t xml:space="preserve">² &gt; 29.7); no weak instruments were present.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Instruments (P &lt; 5×10⁻⁸)</w:t>
            </w:r>
          </w:p>
        </w:tc>
        <w:tc>
          <w:tcPr/>
          <w:p>
            <w:pPr>
              <w:pStyle w:val="Compact"/>
              <w:jc w:val="left"/>
            </w:pPr>
            <w:r>
              <w:t xml:space="preserve">Instruments (P &lt; 5×10⁻⁶)</w:t>
            </w:r>
          </w:p>
        </w:tc>
        <w:tc>
          <w:tcPr/>
          <w:p>
            <w:pPr>
              <w:pStyle w:val="Compact"/>
              <w:jc w:val="left"/>
            </w:pPr>
            <w:r>
              <w:t xml:space="preserve">Single-instrument</w:t>
            </w:r>
          </w:p>
        </w:tc>
        <w:tc>
          <w:tcPr/>
          <w:p>
            <w:pPr>
              <w:pStyle w:val="Compact"/>
              <w:jc w:val="left"/>
            </w:pPr>
            <w:r>
              <w:t xml:space="preserve">Druggability tier</w:t>
            </w:r>
          </w:p>
        </w:tc>
      </w:tr>
      <w:tr>
        <w:tc>
          <w:tcPr/>
          <w:p>
            <w:pPr>
              <w:pStyle w:val="Compact"/>
              <w:jc w:val="left"/>
            </w:pPr>
            <w:r>
              <w:rPr>
                <w:iCs/>
                <w:i/>
              </w:rPr>
              <w:t xml:space="preserve">TSHR</w:t>
            </w:r>
          </w:p>
        </w:tc>
        <w:tc>
          <w:tcPr/>
          <w:p>
            <w:pPr>
              <w:pStyle w:val="Compact"/>
              <w:jc w:val="left"/>
            </w:pPr>
            <w:r>
              <w:t xml:space="preserve">14</w:t>
            </w:r>
          </w:p>
        </w:tc>
        <w:tc>
          <w:tcPr/>
          <w:p>
            <w:pPr>
              <w:pStyle w:val="Compact"/>
              <w:jc w:val="left"/>
            </w:pPr>
            <w:r>
              <w:t xml:space="preserve">1</w:t>
            </w:r>
          </w:p>
        </w:tc>
        <w:tc>
          <w:tcPr/>
          <w:p>
            <w:pPr>
              <w:pStyle w:val="Compact"/>
              <w:jc w:val="left"/>
            </w:pPr>
            <w:r>
              <w:t xml:space="preserve">710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IGF1R</w:t>
            </w:r>
          </w:p>
        </w:tc>
        <w:tc>
          <w:tcPr/>
          <w:p>
            <w:pPr>
              <w:pStyle w:val="Compact"/>
              <w:jc w:val="left"/>
            </w:pPr>
            <w:r>
              <w:t xml:space="preserve">15</w:t>
            </w:r>
          </w:p>
        </w:tc>
        <w:tc>
          <w:tcPr/>
          <w:p>
            <w:pPr>
              <w:pStyle w:val="Compact"/>
              <w:jc w:val="left"/>
            </w:pPr>
            <w:r>
              <w:t xml:space="preserve">4</w:t>
            </w:r>
          </w:p>
        </w:tc>
        <w:tc>
          <w:tcPr/>
          <w:p>
            <w:pPr>
              <w:pStyle w:val="Compact"/>
              <w:jc w:val="left"/>
            </w:pPr>
            <w:r>
              <w:t xml:space="preserve">511</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CTLA4</w:t>
            </w:r>
          </w:p>
        </w:tc>
        <w:tc>
          <w:tcPr/>
          <w:p>
            <w:pPr>
              <w:pStyle w:val="Compact"/>
              <w:jc w:val="left"/>
            </w:pPr>
            <w:r>
              <w:t xml:space="preserve">2</w:t>
            </w:r>
          </w:p>
        </w:tc>
        <w:tc>
          <w:tcPr/>
          <w:p>
            <w:pPr>
              <w:pStyle w:val="Compact"/>
              <w:jc w:val="left"/>
            </w:pPr>
            <w:r>
              <w:t xml:space="preserve">2</w:t>
            </w:r>
          </w:p>
        </w:tc>
        <w:tc>
          <w:tcPr/>
          <w:p>
            <w:pPr>
              <w:pStyle w:val="Compact"/>
              <w:jc w:val="left"/>
            </w:pPr>
            <w:r>
              <w:t xml:space="preserve">333</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HLA-A</w:t>
            </w:r>
          </w:p>
        </w:tc>
        <w:tc>
          <w:tcPr/>
          <w:p>
            <w:pPr>
              <w:pStyle w:val="Compact"/>
              <w:jc w:val="left"/>
            </w:pPr>
            <w:r>
              <w:t xml:space="preserve">6</w:t>
            </w:r>
          </w:p>
        </w:tc>
        <w:tc>
          <w:tcPr/>
          <w:p>
            <w:pPr>
              <w:pStyle w:val="Compact"/>
              <w:jc w:val="left"/>
            </w:pPr>
            <w:r>
              <w:t xml:space="preserve">7</w:t>
            </w:r>
          </w:p>
        </w:tc>
        <w:tc>
          <w:tcPr/>
          <w:p>
            <w:pPr>
              <w:pStyle w:val="Compact"/>
              <w:jc w:val="left"/>
            </w:pPr>
            <w:r>
              <w:t xml:space="preserve">10,315</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HLA-DQA2</w:t>
            </w:r>
          </w:p>
        </w:tc>
        <w:tc>
          <w:tcPr/>
          <w:p>
            <w:pPr>
              <w:pStyle w:val="Compact"/>
              <w:jc w:val="left"/>
            </w:pPr>
            <w:r>
              <w:t xml:space="preserve">6</w:t>
            </w:r>
          </w:p>
        </w:tc>
        <w:tc>
          <w:tcPr/>
          <w:p>
            <w:pPr>
              <w:pStyle w:val="Compact"/>
              <w:jc w:val="left"/>
            </w:pPr>
            <w:r>
              <w:t xml:space="preserve">2</w:t>
            </w:r>
          </w:p>
        </w:tc>
        <w:tc>
          <w:tcPr/>
          <w:p>
            <w:pPr>
              <w:pStyle w:val="Compact"/>
              <w:jc w:val="left"/>
            </w:pPr>
            <w:r>
              <w:t xml:space="preserve">9,971</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C4A</w:t>
            </w:r>
          </w:p>
        </w:tc>
        <w:tc>
          <w:tcPr/>
          <w:p>
            <w:pPr>
              <w:pStyle w:val="Compact"/>
              <w:jc w:val="left"/>
            </w:pPr>
            <w:r>
              <w:t xml:space="preserve">6</w:t>
            </w:r>
          </w:p>
        </w:tc>
        <w:tc>
          <w:tcPr/>
          <w:p>
            <w:pPr>
              <w:pStyle w:val="Compact"/>
              <w:jc w:val="left"/>
            </w:pPr>
            <w:r>
              <w:t xml:space="preserve">5</w:t>
            </w:r>
          </w:p>
        </w:tc>
        <w:tc>
          <w:tcPr/>
          <w:p>
            <w:pPr>
              <w:pStyle w:val="Compact"/>
              <w:jc w:val="left"/>
            </w:pPr>
            <w:r>
              <w:t xml:space="preserve">8,175</w:t>
            </w:r>
          </w:p>
        </w:tc>
        <w:tc>
          <w:tcPr/>
          <w:p>
            <w:pPr>
              <w:pStyle w:val="Compact"/>
              <w:jc w:val="left"/>
            </w:pPr>
            <w:r>
              <w:t xml:space="preserve">No</w:t>
            </w:r>
          </w:p>
        </w:tc>
        <w:tc>
          <w:tcPr/>
          <w:p>
            <w:pPr>
              <w:pStyle w:val="Compact"/>
              <w:jc w:val="left"/>
            </w:pPr>
            <w:r>
              <w:t xml:space="preserve">Tier 3A</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2</w:t>
            </w:r>
          </w:p>
        </w:tc>
        <w:tc>
          <w:tcPr/>
          <w:p>
            <w:pPr>
              <w:pStyle w:val="Compact"/>
              <w:jc w:val="left"/>
            </w:pPr>
            <w:r>
              <w:t xml:space="preserve">736</w:t>
            </w:r>
          </w:p>
        </w:tc>
        <w:tc>
          <w:tcPr/>
          <w:p>
            <w:pPr>
              <w:pStyle w:val="Compact"/>
              <w:jc w:val="left"/>
            </w:pPr>
            <w:r>
              <w:t xml:space="preserve">No</w:t>
            </w:r>
          </w:p>
        </w:tc>
        <w:tc>
          <w:tcPr/>
          <w:p>
            <w:pPr>
              <w:pStyle w:val="Compact"/>
              <w:jc w:val="left"/>
            </w:pPr>
            <w:r>
              <w:t xml:space="preserve">Tier 3B</w:t>
            </w:r>
          </w:p>
        </w:tc>
      </w:tr>
      <w:tr>
        <w:tc>
          <w:tcPr/>
          <w:p>
            <w:pPr>
              <w:pStyle w:val="Compact"/>
              <w:jc w:val="left"/>
            </w:pPr>
            <w:r>
              <w:rPr>
                <w:iCs/>
                <w:i/>
              </w:rPr>
              <w:t xml:space="preserve">TUBB</w:t>
            </w:r>
          </w:p>
        </w:tc>
        <w:tc>
          <w:tcPr/>
          <w:p>
            <w:pPr>
              <w:pStyle w:val="Compact"/>
              <w:jc w:val="left"/>
            </w:pPr>
            <w:r>
              <w:t xml:space="preserve">6</w:t>
            </w:r>
          </w:p>
        </w:tc>
        <w:tc>
          <w:tcPr/>
          <w:p>
            <w:pPr>
              <w:pStyle w:val="Compact"/>
              <w:jc w:val="left"/>
            </w:pPr>
            <w:r>
              <w:t xml:space="preserve">3</w:t>
            </w:r>
          </w:p>
        </w:tc>
        <w:tc>
          <w:tcPr/>
          <w:p>
            <w:pPr>
              <w:pStyle w:val="Compact"/>
              <w:jc w:val="left"/>
            </w:pPr>
            <w:r>
              <w:t xml:space="preserve">1,476</w:t>
            </w:r>
          </w:p>
        </w:tc>
        <w:tc>
          <w:tcPr/>
          <w:p>
            <w:pPr>
              <w:pStyle w:val="Compact"/>
              <w:jc w:val="left"/>
            </w:pPr>
            <w:r>
              <w:t xml:space="preserve">No</w:t>
            </w:r>
          </w:p>
        </w:tc>
        <w:tc>
          <w:tcPr/>
          <w:p>
            <w:pPr>
              <w:pStyle w:val="Compact"/>
              <w:jc w:val="left"/>
            </w:pPr>
            <w:r>
              <w:t xml:space="preserve">Tier 1</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1</w:t>
            </w:r>
          </w:p>
        </w:tc>
        <w:tc>
          <w:tcPr/>
          <w:p>
            <w:pPr>
              <w:pStyle w:val="Compact"/>
              <w:jc w:val="left"/>
            </w:pPr>
            <w:r>
              <w:t xml:space="preserve">489</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TNFSF14</w:t>
            </w:r>
          </w:p>
        </w:tc>
        <w:tc>
          <w:tcPr/>
          <w:p>
            <w:pPr>
              <w:pStyle w:val="Compact"/>
              <w:jc w:val="left"/>
            </w:pPr>
            <w:r>
              <w:t xml:space="preserve">19</w:t>
            </w:r>
          </w:p>
        </w:tc>
        <w:tc>
          <w:tcPr/>
          <w:p>
            <w:pPr>
              <w:pStyle w:val="Compact"/>
              <w:jc w:val="left"/>
            </w:pPr>
            <w:r>
              <w:t xml:space="preserve">1</w:t>
            </w:r>
          </w:p>
        </w:tc>
        <w:tc>
          <w:tcPr/>
          <w:p>
            <w:pPr>
              <w:pStyle w:val="Compact"/>
              <w:jc w:val="left"/>
            </w:pPr>
            <w:r>
              <w:t xml:space="preserve">258</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1</w:t>
            </w:r>
          </w:p>
        </w:tc>
        <w:tc>
          <w:tcPr/>
          <w:p>
            <w:pPr>
              <w:pStyle w:val="Compact"/>
              <w:jc w:val="left"/>
            </w:pPr>
            <w:r>
              <w:t xml:space="preserve">333</w:t>
            </w:r>
          </w:p>
        </w:tc>
        <w:tc>
          <w:tcPr/>
          <w:p>
            <w:pPr>
              <w:pStyle w:val="Compact"/>
              <w:jc w:val="left"/>
            </w:pPr>
            <w:r>
              <w:t xml:space="preserve">Yes</w:t>
            </w:r>
          </w:p>
        </w:tc>
        <w:tc>
          <w:tcPr/>
          <w:p>
            <w:pPr>
              <w:pStyle w:val="Compact"/>
              <w:jc w:val="left"/>
            </w:pPr>
            <w:r>
              <w:t xml:space="preserve">Tier 3A</w:t>
            </w:r>
          </w:p>
        </w:tc>
      </w:tr>
      <w:tr>
        <w:tc>
          <w:tcPr/>
          <w:p>
            <w:pPr>
              <w:pStyle w:val="Compact"/>
              <w:jc w:val="left"/>
            </w:pPr>
            <w:r>
              <w:rPr>
                <w:iCs/>
                <w:i/>
              </w:rPr>
              <w:t xml:space="preserve">MAPKAPK5</w:t>
            </w:r>
          </w:p>
        </w:tc>
        <w:tc>
          <w:tcPr/>
          <w:p>
            <w:pPr>
              <w:pStyle w:val="Compact"/>
              <w:jc w:val="left"/>
            </w:pPr>
            <w:r>
              <w:t xml:space="preserve">12</w:t>
            </w:r>
          </w:p>
        </w:tc>
        <w:tc>
          <w:tcPr/>
          <w:p>
            <w:pPr>
              <w:pStyle w:val="Compact"/>
              <w:jc w:val="left"/>
            </w:pPr>
            <w:r>
              <w:t xml:space="preserve">4</w:t>
            </w:r>
          </w:p>
        </w:tc>
        <w:tc>
          <w:tcPr/>
          <w:p>
            <w:pPr>
              <w:pStyle w:val="Compact"/>
              <w:jc w:val="left"/>
            </w:pPr>
            <w:r>
              <w:t xml:space="preserve">1,349</w:t>
            </w:r>
          </w:p>
        </w:tc>
        <w:tc>
          <w:tcPr/>
          <w:p>
            <w:pPr>
              <w:pStyle w:val="Compact"/>
              <w:jc w:val="left"/>
            </w:pPr>
            <w:r>
              <w:t xml:space="preserve">No</w:t>
            </w:r>
          </w:p>
        </w:tc>
        <w:tc>
          <w:tcPr/>
          <w:p>
            <w:pPr>
              <w:pStyle w:val="Compact"/>
              <w:jc w:val="left"/>
            </w:pPr>
            <w:r>
              <w:t xml:space="preserve">Tier 2</w:t>
            </w:r>
          </w:p>
        </w:tc>
      </w:tr>
      <w:tr>
        <w:tc>
          <w:tcPr/>
          <w:p>
            <w:pPr>
              <w:pStyle w:val="Compact"/>
              <w:jc w:val="left"/>
            </w:pPr>
            <w:r>
              <w:rPr>
                <w:iCs/>
                <w:i/>
              </w:rPr>
              <w:t xml:space="preserve">PSMB8</w:t>
            </w:r>
          </w:p>
        </w:tc>
        <w:tc>
          <w:tcPr/>
          <w:p>
            <w:pPr>
              <w:pStyle w:val="Compact"/>
              <w:jc w:val="left"/>
            </w:pPr>
            <w:r>
              <w:t xml:space="preserve">6</w:t>
            </w:r>
          </w:p>
        </w:tc>
        <w:tc>
          <w:tcPr/>
          <w:p>
            <w:pPr>
              <w:pStyle w:val="Compact"/>
              <w:jc w:val="left"/>
            </w:pPr>
            <w:r>
              <w:t xml:space="preserve">1</w:t>
            </w:r>
          </w:p>
        </w:tc>
        <w:tc>
          <w:tcPr/>
          <w:p>
            <w:pPr>
              <w:pStyle w:val="Compact"/>
              <w:jc w:val="left"/>
            </w:pPr>
            <w:r>
              <w:t xml:space="preserve">1,060</w:t>
            </w:r>
          </w:p>
        </w:tc>
        <w:tc>
          <w:tcPr/>
          <w:p>
            <w:pPr>
              <w:pStyle w:val="Compact"/>
              <w:jc w:val="left"/>
            </w:pPr>
            <w:r>
              <w:t xml:space="preserve">Yes</w:t>
            </w:r>
          </w:p>
        </w:tc>
        <w:tc>
          <w:tcPr/>
          <w:p>
            <w:pPr>
              <w:pStyle w:val="Compact"/>
              <w:jc w:val="left"/>
            </w:pPr>
            <w:r>
              <w:t xml:space="preserve">Tier 1</w:t>
            </w:r>
          </w:p>
        </w:tc>
      </w:tr>
      <w:tr>
        <w:tc>
          <w:tcPr/>
          <w:p>
            <w:pPr>
              <w:pStyle w:val="Compact"/>
              <w:jc w:val="left"/>
            </w:pPr>
            <w:r>
              <w:rPr>
                <w:iCs/>
                <w:i/>
              </w:rPr>
              <w:t xml:space="preserve">IFNGR1</w:t>
            </w:r>
          </w:p>
        </w:tc>
        <w:tc>
          <w:tcPr/>
          <w:p>
            <w:pPr>
              <w:pStyle w:val="Compact"/>
              <w:jc w:val="left"/>
            </w:pPr>
            <w:r>
              <w:t xml:space="preserve">6</w:t>
            </w:r>
          </w:p>
        </w:tc>
        <w:tc>
          <w:tcPr/>
          <w:p>
            <w:pPr>
              <w:pStyle w:val="Compact"/>
              <w:jc w:val="left"/>
            </w:pPr>
            <w:r>
              <w:t xml:space="preserve">1</w:t>
            </w:r>
          </w:p>
        </w:tc>
        <w:tc>
          <w:tcPr/>
          <w:p>
            <w:pPr>
              <w:pStyle w:val="Compact"/>
              <w:jc w:val="left"/>
            </w:pPr>
            <w:r>
              <w:t xml:space="preserve">340</w:t>
            </w:r>
          </w:p>
        </w:tc>
        <w:tc>
          <w:tcPr/>
          <w:p>
            <w:pPr>
              <w:pStyle w:val="Compact"/>
              <w:jc w:val="left"/>
            </w:pPr>
            <w:r>
              <w:t xml:space="preserve">Yes</w:t>
            </w:r>
          </w:p>
        </w:tc>
        <w:tc>
          <w:tcPr/>
          <w:p>
            <w:pPr>
              <w:pStyle w:val="Compact"/>
              <w:jc w:val="left"/>
            </w:pPr>
            <w:r>
              <w:t xml:space="preserve">Tier 1</w:t>
            </w:r>
          </w:p>
        </w:tc>
      </w:tr>
    </w:tbl>
    <w:p>
      <w:pPr>
        <w:pStyle w:val="BodyText"/>
      </w:pPr>
      <w:r>
        <w:rPr>
          <w:iCs/>
          <w:i/>
        </w:rPr>
        <w:t xml:space="preserve">Druggability tiers follow Finan et al. (Tier 1, approved drug targets or those in clinical development; Tier 2, targets of small molecules or biotherapeutics with druggable similarity; Tier 3, secreted or extracellular proteins and members of druggable gene families). Several MHC-region genes (e.g., HLA-A, HLA-DQA2, C4A) have very large secondary-threshold instrument counts reflecting the extended LD of the region; primary analyses used the stringent P &lt; 5×10⁻⁸ instruments after clumping. The</w:t>
      </w:r>
      <w:r>
        <w:rPr>
          <w:iCs/>
          <w:i/>
        </w:rPr>
        <w:t xml:space="preserve"> </w:t>
      </w:r>
      <w:r>
        <w:rPr>
          <w:iCs/>
          <w:i/>
        </w:rPr>
        <w:t xml:space="preserve">“</w:t>
      </w:r>
      <w:r>
        <w:rPr>
          <w:iCs/>
          <w:i/>
        </w:rPr>
        <w:t xml:space="preserve">Instruments (P &lt; 5×10⁻⁸)</w:t>
      </w:r>
      <w:r>
        <w:rPr>
          <w:iCs/>
          <w:i/>
        </w:rPr>
        <w:t xml:space="preserve">”</w:t>
      </w:r>
      <w:r>
        <w:rPr>
          <w:iCs/>
          <w:i/>
        </w:rPr>
        <w:t xml:space="preserve"> </w:t>
      </w:r>
      <w:r>
        <w:rPr>
          <w:iCs/>
          <w:i/>
        </w:rPr>
        <w:t xml:space="preserve">column reports the number of independent cis-eQTL instruments available after clumping; the number of instruments actually used in MR against a given outcome (N IV in Tables 2 and 3) may be smaller, reflecting outcome-specific SNP availability and harmonization (absence of a variant in the outcome GWAS, or removal of palindromic variants).</w:t>
      </w:r>
      <w:r>
        <w:t xml:space="preserve"> </w:t>
      </w:r>
      <w:r>
        <w:t xml:space="preserve">-</w:t>
      </w:r>
      <w:r>
        <w:t xml:space="preserve"> </w:t>
      </w:r>
      <w:r>
        <w:rPr>
          <w:bCs/>
          <w:b/>
        </w:rPr>
        <w:t xml:space="preserve">Table S5.</w:t>
      </w:r>
      <w:r>
        <w:t xml:space="preserve"> </w:t>
      </w:r>
      <w:r>
        <w:t xml:space="preserve">Chromosome 16p11.2 candidate cluster. Three discovery hits (</w:t>
      </w:r>
      <w:r>
        <w:rPr>
          <w:iCs/>
          <w:i/>
        </w:rPr>
        <w:t xml:space="preserve">HSD3B7</w:t>
      </w:r>
      <w:r>
        <w:t xml:space="preserve">,</w:t>
      </w:r>
      <w:r>
        <w:t xml:space="preserve"> </w:t>
      </w:r>
      <w:r>
        <w:rPr>
          <w:iCs/>
          <w:i/>
        </w:rPr>
        <w:t xml:space="preserve">VKORC1</w:t>
      </w:r>
      <w:r>
        <w:t xml:space="preserve">,</w:t>
      </w:r>
      <w:r>
        <w:t xml:space="preserve"> </w:t>
      </w:r>
      <w:r>
        <w:rPr>
          <w:iCs/>
          <w:i/>
        </w:rPr>
        <w:t xml:space="preserve">PRSS36</w:t>
      </w:r>
      <w:r>
        <w:t xml:space="preserve">) map to a narrow (~143-kb) window on chromosome 16p11.2 and behave as a single linkage-disequilibrium signal rather than three independent associations.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Chr</w:t>
            </w:r>
          </w:p>
        </w:tc>
        <w:tc>
          <w:tcPr/>
          <w:p>
            <w:pPr>
              <w:pStyle w:val="Compact"/>
              <w:jc w:val="left"/>
            </w:pPr>
            <w:r>
              <w:t xml:space="preserve">Position (hg19)</w:t>
            </w:r>
          </w:p>
        </w:tc>
        <w:tc>
          <w:tcPr/>
          <w:p>
            <w:pPr>
              <w:pStyle w:val="Compact"/>
              <w:jc w:val="left"/>
            </w:pPr>
            <w:r>
              <w:t xml:space="preserve">BBJ discovery</w:t>
            </w:r>
            <w:r>
              <w:t xml:space="preserve"> </w:t>
            </w:r>
            <w:r>
              <w:rPr>
                <w:iCs/>
                <w:i/>
              </w:rPr>
              <w:t xml:space="preserve">P</w:t>
            </w:r>
          </w:p>
        </w:tc>
        <w:tc>
          <w:tcPr/>
          <w:p>
            <w:pPr>
              <w:pStyle w:val="Compact"/>
              <w:jc w:val="left"/>
            </w:pPr>
            <w:r>
              <w:t xml:space="preserve">Coloc PP.H4 (BBJ)</w:t>
            </w:r>
          </w:p>
        </w:tc>
        <w:tc>
          <w:tcPr/>
          <w:p>
            <w:pPr>
              <w:pStyle w:val="Compact"/>
              <w:jc w:val="left"/>
            </w:pPr>
            <w:r>
              <w:t xml:space="preserve">Coloc PP.H4 (UKB)</w:t>
            </w:r>
          </w:p>
        </w:tc>
        <w:tc>
          <w:tcPr/>
          <w:p>
            <w:pPr>
              <w:pStyle w:val="Compact"/>
              <w:jc w:val="left"/>
            </w:pPr>
            <w:r>
              <w:t xml:space="preserve">Coloc PP.H4 (FinnGen)</w:t>
            </w:r>
          </w:p>
        </w:tc>
        <w:tc>
          <w:tcPr/>
          <w:p>
            <w:pPr>
              <w:pStyle w:val="Compact"/>
              <w:jc w:val="left"/>
            </w:pPr>
            <w:r>
              <w:t xml:space="preserve">Top SNP</w:t>
            </w:r>
          </w:p>
        </w:tc>
      </w:tr>
      <w:tr>
        <w:tc>
          <w:tcPr/>
          <w:p>
            <w:pPr>
              <w:pStyle w:val="Compact"/>
              <w:jc w:val="left"/>
            </w:pPr>
            <w:r>
              <w:rPr>
                <w:iCs/>
                <w:i/>
              </w:rPr>
              <w:t xml:space="preserve">HSD3B7</w:t>
            </w:r>
          </w:p>
        </w:tc>
        <w:tc>
          <w:tcPr/>
          <w:p>
            <w:pPr>
              <w:pStyle w:val="Compact"/>
              <w:jc w:val="left"/>
            </w:pPr>
            <w:r>
              <w:t xml:space="preserve">16</w:t>
            </w:r>
          </w:p>
        </w:tc>
        <w:tc>
          <w:tcPr/>
          <w:p>
            <w:pPr>
              <w:pStyle w:val="Compact"/>
              <w:jc w:val="left"/>
            </w:pPr>
            <w:r>
              <w:t xml:space="preserve">31,011,183</w:t>
            </w:r>
          </w:p>
        </w:tc>
        <w:tc>
          <w:tcPr/>
          <w:p>
            <w:pPr>
              <w:pStyle w:val="Compact"/>
              <w:jc w:val="left"/>
            </w:pPr>
            <w:r>
              <w:t xml:space="preserve">2.0×10⁻⁷</w:t>
            </w:r>
          </w:p>
        </w:tc>
        <w:tc>
          <w:tcPr/>
          <w:p>
            <w:pPr>
              <w:pStyle w:val="Compact"/>
              <w:jc w:val="left"/>
            </w:pPr>
            <w:r>
              <w:t xml:space="preserve">0.636</w:t>
            </w:r>
          </w:p>
        </w:tc>
        <w:tc>
          <w:tcPr/>
          <w:p>
            <w:pPr>
              <w:pStyle w:val="Compact"/>
              <w:jc w:val="left"/>
            </w:pPr>
            <w:r>
              <w:t xml:space="preserve">0.095</w:t>
            </w:r>
          </w:p>
        </w:tc>
        <w:tc>
          <w:tcPr/>
          <w:p>
            <w:pPr>
              <w:pStyle w:val="Compact"/>
              <w:jc w:val="left"/>
            </w:pPr>
            <w:r>
              <w:t xml:space="preserve">0.026</w:t>
            </w:r>
          </w:p>
        </w:tc>
        <w:tc>
          <w:tcPr/>
          <w:p>
            <w:pPr>
              <w:pStyle w:val="Compact"/>
              <w:jc w:val="left"/>
            </w:pPr>
            <w:r>
              <w:t xml:space="preserve">rs4889606</w:t>
            </w:r>
          </w:p>
        </w:tc>
      </w:tr>
      <w:tr>
        <w:tc>
          <w:tcPr/>
          <w:p>
            <w:pPr>
              <w:pStyle w:val="Compact"/>
              <w:jc w:val="left"/>
            </w:pPr>
            <w:r>
              <w:rPr>
                <w:iCs/>
                <w:i/>
              </w:rPr>
              <w:t xml:space="preserve">VKORC1</w:t>
            </w:r>
          </w:p>
        </w:tc>
        <w:tc>
          <w:tcPr/>
          <w:p>
            <w:pPr>
              <w:pStyle w:val="Compact"/>
              <w:jc w:val="left"/>
            </w:pPr>
            <w:r>
              <w:t xml:space="preserve">16</w:t>
            </w:r>
          </w:p>
        </w:tc>
        <w:tc>
          <w:tcPr/>
          <w:p>
            <w:pPr>
              <w:pStyle w:val="Compact"/>
              <w:jc w:val="left"/>
            </w:pPr>
            <w:r>
              <w:t xml:space="preserve">31,066,538</w:t>
            </w:r>
          </w:p>
        </w:tc>
        <w:tc>
          <w:tcPr/>
          <w:p>
            <w:pPr>
              <w:pStyle w:val="Compact"/>
              <w:jc w:val="left"/>
            </w:pPr>
            <w:r>
              <w:t xml:space="preserve">6.4×10⁻⁷</w:t>
            </w:r>
          </w:p>
        </w:tc>
        <w:tc>
          <w:tcPr/>
          <w:p>
            <w:pPr>
              <w:pStyle w:val="Compact"/>
              <w:jc w:val="left"/>
            </w:pPr>
            <w:r>
              <w:t xml:space="preserve">0.388</w:t>
            </w:r>
          </w:p>
        </w:tc>
        <w:tc>
          <w:tcPr/>
          <w:p>
            <w:pPr>
              <w:pStyle w:val="Compact"/>
              <w:jc w:val="left"/>
            </w:pPr>
            <w:r>
              <w:t xml:space="preserve">0.030</w:t>
            </w:r>
          </w:p>
        </w:tc>
        <w:tc>
          <w:tcPr/>
          <w:p>
            <w:pPr>
              <w:pStyle w:val="Compact"/>
              <w:jc w:val="left"/>
            </w:pPr>
            <w:r>
              <w:t xml:space="preserve">0.030</w:t>
            </w:r>
          </w:p>
        </w:tc>
        <w:tc>
          <w:tcPr/>
          <w:p>
            <w:pPr>
              <w:pStyle w:val="Compact"/>
              <w:jc w:val="left"/>
            </w:pPr>
            <w:r>
              <w:t xml:space="preserve">rs34649473</w:t>
            </w:r>
          </w:p>
        </w:tc>
      </w:tr>
      <w:tr>
        <w:tc>
          <w:tcPr/>
          <w:p>
            <w:pPr>
              <w:pStyle w:val="Compact"/>
              <w:jc w:val="left"/>
            </w:pPr>
            <w:r>
              <w:rPr>
                <w:iCs/>
                <w:i/>
              </w:rPr>
              <w:t xml:space="preserve">PRSS36</w:t>
            </w:r>
          </w:p>
        </w:tc>
        <w:tc>
          <w:tcPr/>
          <w:p>
            <w:pPr>
              <w:pStyle w:val="Compact"/>
              <w:jc w:val="left"/>
            </w:pPr>
            <w:r>
              <w:t xml:space="preserve">16</w:t>
            </w:r>
          </w:p>
        </w:tc>
        <w:tc>
          <w:tcPr/>
          <w:p>
            <w:pPr>
              <w:pStyle w:val="Compact"/>
              <w:jc w:val="left"/>
            </w:pPr>
            <w:r>
              <w:t xml:space="preserve">31,154,358</w:t>
            </w:r>
          </w:p>
        </w:tc>
        <w:tc>
          <w:tcPr/>
          <w:p>
            <w:pPr>
              <w:pStyle w:val="Compact"/>
              <w:jc w:val="left"/>
            </w:pPr>
            <w:r>
              <w:t xml:space="preserve">2.0×10⁻⁶</w:t>
            </w:r>
          </w:p>
        </w:tc>
        <w:tc>
          <w:tcPr/>
          <w:p>
            <w:pPr>
              <w:pStyle w:val="Compact"/>
              <w:jc w:val="left"/>
            </w:pPr>
            <w:r>
              <w:t xml:space="preserve">0.168</w:t>
            </w:r>
          </w:p>
        </w:tc>
        <w:tc>
          <w:tcPr/>
          <w:p>
            <w:pPr>
              <w:pStyle w:val="Compact"/>
              <w:jc w:val="left"/>
            </w:pPr>
            <w:r>
              <w:t xml:space="preserve">0.115</w:t>
            </w:r>
          </w:p>
        </w:tc>
        <w:tc>
          <w:tcPr/>
          <w:p>
            <w:pPr>
              <w:pStyle w:val="Compact"/>
              <w:jc w:val="left"/>
            </w:pPr>
            <w:r>
              <w:t xml:space="preserve">0.037</w:t>
            </w:r>
          </w:p>
        </w:tc>
        <w:tc>
          <w:tcPr/>
          <w:p>
            <w:pPr>
              <w:pStyle w:val="Compact"/>
              <w:jc w:val="left"/>
            </w:pPr>
            <w:r>
              <w:t xml:space="preserve">rs78924645</w:t>
            </w:r>
          </w:p>
        </w:tc>
      </w:tr>
    </w:tbl>
    <w:p>
      <w:pPr>
        <w:pStyle w:val="BodyText"/>
      </w:pPr>
      <w:r>
        <w:rPr>
          <w:iCs/>
          <w:i/>
        </w:rPr>
        <w:t xml:space="preserve">All three lead variants lie within a 143.2-kb window on chromosome 16p11.2 (hg19 chr16:31,011,183–31,154,358) and none reaches strong colocalization (PP.H4 ≥ 0.80) in any outcome. Because these hits were discovered in the East Asian outcome, linkage disequilibrium was assessed in the ancestry-matched 1000 Genomes Phase 3 East Asian reference (n = 504), where all three lead variants are in substantial mutual LD (r² = 0.854, 0.761 and 0.863). Conditional analysis (GCTA-COJO, East Asian reference) selected exactly one independent signal at the locus, rs8050588 (P = 1.15×10⁻⁸); conditioning on it collapses all three associations (rs4889606, marginal P = 2.04×10⁻⁷ → conditional P = 0.928; rs34649473, 6.35×10⁻⁷ → 0.839; rs78924645, 2.02×10⁻⁶ → 0.806). Their co-significance in discovery therefore reflects a single regional signal rather than three independent causal effects. In the European reference the corresponding r² values are 0.896, 0.190 and 0.204, which is why the ancestry-matched panel is the appropriate one here.</w:t>
      </w:r>
      <w:r>
        <w:t xml:space="preserve"> </w:t>
      </w:r>
      <w:r>
        <w:t xml:space="preserve">-</w:t>
      </w:r>
      <w:r>
        <w:t xml:space="preserve"> </w:t>
      </w:r>
      <w:r>
        <w:rPr>
          <w:bCs/>
          <w:b/>
        </w:rPr>
        <w:t xml:space="preserve">Table S6.</w:t>
      </w:r>
      <w:r>
        <w:t xml:space="preserve"> </w:t>
      </w:r>
      <w:r>
        <w:t xml:space="preserve">Mendelian randomization sensitivity analyses for the backbone genes across all three outcomes. IVW, inverse-variance weighted; WM, weighted median; Wmode, weighted mode. MR-Egger intercept, Cochran’s Q, and multi-estimator comparisons require multiple instruments and are not estimable (NA) at single-instrument loci.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N IV</w:t>
            </w:r>
          </w:p>
        </w:tc>
        <w:tc>
          <w:tcPr/>
          <w:p>
            <w:pPr>
              <w:pStyle w:val="Compact"/>
              <w:jc w:val="left"/>
            </w:pPr>
            <w:r>
              <w:t xml:space="preserve">IVW/Wald</w:t>
            </w:r>
            <w:r>
              <w:t xml:space="preserve"> </w:t>
            </w:r>
            <w:r>
              <w:rPr>
                <w:iCs/>
                <w:i/>
              </w:rPr>
              <w:t xml:space="preserve">P</w:t>
            </w:r>
          </w:p>
        </w:tc>
        <w:tc>
          <w:tcPr/>
          <w:p>
            <w:pPr>
              <w:pStyle w:val="Compact"/>
              <w:jc w:val="left"/>
            </w:pPr>
            <w:r>
              <w:t xml:space="preserve">WM</w:t>
            </w:r>
            <w:r>
              <w:t xml:space="preserve"> </w:t>
            </w:r>
            <w:r>
              <w:rPr>
                <w:iCs/>
                <w:i/>
              </w:rPr>
              <w:t xml:space="preserve">P</w:t>
            </w:r>
          </w:p>
        </w:tc>
        <w:tc>
          <w:tcPr/>
          <w:p>
            <w:pPr>
              <w:pStyle w:val="Compact"/>
              <w:jc w:val="left"/>
            </w:pPr>
            <w:r>
              <w:t xml:space="preserve">Wmode</w:t>
            </w:r>
            <w:r>
              <w:t xml:space="preserve"> </w:t>
            </w:r>
            <w:r>
              <w:rPr>
                <w:iCs/>
                <w:i/>
              </w:rPr>
              <w:t xml:space="preserve">P</w:t>
            </w:r>
          </w:p>
        </w:tc>
        <w:tc>
          <w:tcPr/>
          <w:p>
            <w:pPr>
              <w:pStyle w:val="Compact"/>
              <w:jc w:val="left"/>
            </w:pPr>
            <w:r>
              <w:t xml:space="preserve">MR-Egger intercept</w:t>
            </w:r>
            <w:r>
              <w:t xml:space="preserve"> </w:t>
            </w:r>
            <w:r>
              <w:rPr>
                <w:iCs/>
                <w:i/>
              </w:rPr>
              <w:t xml:space="preserve">P</w:t>
            </w:r>
          </w:p>
        </w:tc>
        <w:tc>
          <w:tcPr/>
          <w:p>
            <w:pPr>
              <w:pStyle w:val="Compact"/>
              <w:jc w:val="left"/>
            </w:pPr>
            <w:r>
              <w:t xml:space="preserve">Cochran’s Q</w:t>
            </w:r>
            <w:r>
              <w:t xml:space="preserve"> </w:t>
            </w:r>
            <w:r>
              <w:rPr>
                <w:iCs/>
                <w:i/>
              </w:rPr>
              <w:t xml:space="preserve">P</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1.1×10⁻¹⁴</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1</w:t>
            </w:r>
          </w:p>
        </w:tc>
        <w:tc>
          <w:tcPr/>
          <w:p>
            <w:pPr>
              <w:pStyle w:val="Compact"/>
              <w:jc w:val="left"/>
            </w:pPr>
            <w:r>
              <w:t xml:space="preserve">8.8×10⁻²⁸</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1</w:t>
            </w:r>
          </w:p>
        </w:tc>
        <w:tc>
          <w:tcPr/>
          <w:p>
            <w:pPr>
              <w:pStyle w:val="Compact"/>
              <w:jc w:val="left"/>
            </w:pPr>
            <w:r>
              <w:t xml:space="preserve">2.8×10⁻⁷</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0.029</w:t>
            </w:r>
          </w:p>
        </w:tc>
        <w:tc>
          <w:tcPr/>
          <w:p>
            <w:pPr>
              <w:pStyle w:val="Compact"/>
              <w:jc w:val="left"/>
            </w:pPr>
            <w:r>
              <w:t xml:space="preserve">0.118</w:t>
            </w:r>
          </w:p>
        </w:tc>
        <w:tc>
          <w:tcPr/>
          <w:p>
            <w:pPr>
              <w:pStyle w:val="Compact"/>
              <w:jc w:val="left"/>
            </w:pPr>
            <w:r>
              <w:t xml:space="preserve">0.663</w:t>
            </w:r>
          </w:p>
        </w:tc>
        <w:tc>
          <w:tcPr/>
          <w:p>
            <w:pPr>
              <w:pStyle w:val="Compact"/>
              <w:jc w:val="left"/>
            </w:pPr>
            <w:r>
              <w:t xml:space="preserve">0.902</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4</w:t>
            </w:r>
          </w:p>
        </w:tc>
        <w:tc>
          <w:tcPr/>
          <w:p>
            <w:pPr>
              <w:pStyle w:val="Compact"/>
              <w:jc w:val="left"/>
            </w:pPr>
            <w:r>
              <w:t xml:space="preserve">0.012</w:t>
            </w:r>
          </w:p>
        </w:tc>
        <w:tc>
          <w:tcPr/>
          <w:p>
            <w:pPr>
              <w:pStyle w:val="Compact"/>
              <w:jc w:val="left"/>
            </w:pPr>
            <w:r>
              <w:t xml:space="preserve">0.002</w:t>
            </w:r>
          </w:p>
        </w:tc>
        <w:tc>
          <w:tcPr/>
          <w:p>
            <w:pPr>
              <w:pStyle w:val="Compact"/>
              <w:jc w:val="left"/>
            </w:pPr>
            <w:r>
              <w:t xml:space="preserve">0.040</w:t>
            </w:r>
          </w:p>
        </w:tc>
        <w:tc>
          <w:tcPr/>
          <w:p>
            <w:pPr>
              <w:pStyle w:val="Compact"/>
              <w:jc w:val="left"/>
            </w:pPr>
            <w:r>
              <w:t xml:space="preserve">0.562</w:t>
            </w:r>
          </w:p>
        </w:tc>
        <w:tc>
          <w:tcPr/>
          <w:p>
            <w:pPr>
              <w:pStyle w:val="Compact"/>
              <w:jc w:val="left"/>
            </w:pPr>
            <w:r>
              <w:t xml:space="preserve">0.250</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3</w:t>
            </w:r>
          </w:p>
        </w:tc>
        <w:tc>
          <w:tcPr/>
          <w:p>
            <w:pPr>
              <w:pStyle w:val="Compact"/>
              <w:jc w:val="left"/>
            </w:pPr>
            <w:r>
              <w:t xml:space="preserve">0.182</w:t>
            </w:r>
          </w:p>
        </w:tc>
        <w:tc>
          <w:tcPr/>
          <w:p>
            <w:pPr>
              <w:pStyle w:val="Compact"/>
              <w:jc w:val="left"/>
            </w:pPr>
            <w:r>
              <w:t xml:space="preserve">0.124</w:t>
            </w:r>
          </w:p>
        </w:tc>
        <w:tc>
          <w:tcPr/>
          <w:p>
            <w:pPr>
              <w:pStyle w:val="Compact"/>
              <w:jc w:val="left"/>
            </w:pPr>
            <w:r>
              <w:t xml:space="preserve">0.241</w:t>
            </w:r>
          </w:p>
        </w:tc>
        <w:tc>
          <w:tcPr/>
          <w:p>
            <w:pPr>
              <w:pStyle w:val="Compact"/>
              <w:jc w:val="left"/>
            </w:pPr>
            <w:r>
              <w:t xml:space="preserve">0.433</w:t>
            </w:r>
          </w:p>
        </w:tc>
        <w:tc>
          <w:tcPr/>
          <w:p>
            <w:pPr>
              <w:pStyle w:val="Compact"/>
              <w:jc w:val="left"/>
            </w:pPr>
            <w:r>
              <w:t xml:space="preserve">0.309</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1</w:t>
            </w:r>
          </w:p>
        </w:tc>
        <w:tc>
          <w:tcPr/>
          <w:p>
            <w:pPr>
              <w:pStyle w:val="Compact"/>
              <w:jc w:val="left"/>
            </w:pPr>
            <w:r>
              <w:t xml:space="preserve">5.5×10⁻¹⁵</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2</w:t>
            </w:r>
          </w:p>
        </w:tc>
        <w:tc>
          <w:tcPr/>
          <w:p>
            <w:pPr>
              <w:pStyle w:val="Compact"/>
              <w:jc w:val="left"/>
            </w:pPr>
            <w:r>
              <w:t xml:space="preserve">0.002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0.001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2</w:t>
            </w:r>
          </w:p>
        </w:tc>
        <w:tc>
          <w:tcPr/>
          <w:p>
            <w:pPr>
              <w:pStyle w:val="Compact"/>
              <w:jc w:val="left"/>
            </w:pPr>
            <w:r>
              <w:t xml:space="preserve">0.012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0.049</w:t>
            </w:r>
          </w:p>
        </w:tc>
      </w:tr>
    </w:tbl>
    <w:p>
      <w:pPr>
        <w:pStyle w:val="BodyText"/>
      </w:pPr>
      <w:r>
        <w:rPr>
          <w:iCs/>
          <w:i/>
        </w:rPr>
        <w:t xml:space="preserve">For IGF1R (the only multi-instrument backbone gene with a full estimator set), all sensitivity estimators are directionally concordant with the IVW estimate and the MR-Egger intercept is non-significant in every outcome (P &gt; 0.43), indicating no detectable directional pleiotropy. CTLA4 showed significant between-instrument heterogeneity in the UKB and FinnGen analyses (Cochran’s Q P = 0.001 and 0.049), consistent with cross-ancestry/phenotype locus complexity. Steiger directionality was not estimable for these summary-level single- or limited-instrument loci and was therefore not applied. Single-instrument loci are not amenable to instrument-based pleiotropy diagnostics. TSHR is instead supported by colocalization (PP.H4 = 0.951 in BBJ and 0.986 in the TED-enriched outcome) and by LD-clumping sensitivity analysis (Table S3); the single-instrument CTLA4 discovery arm is not, its discovery posterior favouring distinct causal variants (PP.H3 = 0.794, PP.H4 = 0.206), consistent with its role as a positive control rather than a colocalized anchor.</w:t>
      </w:r>
      <w:r>
        <w:t xml:space="preserve"> </w:t>
      </w:r>
      <w:r>
        <w:t xml:space="preserve">-</w:t>
      </w:r>
      <w:r>
        <w:t xml:space="preserve"> </w:t>
      </w:r>
      <w:r>
        <w:rPr>
          <w:bCs/>
          <w:b/>
        </w:rPr>
        <w:t xml:space="preserve">Table S7.</w:t>
      </w:r>
      <w:r>
        <w:t xml:space="preserve"> </w:t>
      </w:r>
      <w:r>
        <w:t xml:space="preserve">STROBE-MR reporting checklist. Each item maps to where it is addressed in the manuscript (page/section references to be finalized at proof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STROBE-MR Item</w:t>
            </w:r>
          </w:p>
        </w:tc>
        <w:tc>
          <w:tcPr/>
          <w:p>
            <w:pPr>
              <w:pStyle w:val="Compact"/>
              <w:jc w:val="left"/>
            </w:pPr>
            <w:r>
              <w:t xml:space="preserve">Addressed in</w:t>
            </w:r>
          </w:p>
        </w:tc>
      </w:tr>
      <w:tr>
        <w:tc>
          <w:tcPr/>
          <w:p>
            <w:pPr>
              <w:pStyle w:val="Compact"/>
              <w:jc w:val="left"/>
            </w:pPr>
            <w:r>
              <w:t xml:space="preserve">1</w:t>
            </w:r>
          </w:p>
        </w:tc>
        <w:tc>
          <w:tcPr/>
          <w:p>
            <w:pPr>
              <w:pStyle w:val="Compact"/>
              <w:jc w:val="left"/>
            </w:pPr>
            <w:r>
              <w:t xml:space="preserve">MR stated in title/abstract; design described</w:t>
            </w:r>
          </w:p>
        </w:tc>
        <w:tc>
          <w:tcPr/>
          <w:p>
            <w:pPr>
              <w:pStyle w:val="Compact"/>
              <w:jc w:val="left"/>
            </w:pPr>
            <w:r>
              <w:t xml:space="preserve">Title, Abstract</w:t>
            </w:r>
          </w:p>
        </w:tc>
      </w:tr>
      <w:tr>
        <w:tc>
          <w:tcPr/>
          <w:p>
            <w:pPr>
              <w:pStyle w:val="Compact"/>
              <w:jc w:val="left"/>
            </w:pPr>
            <w:r>
              <w:t xml:space="preserve">2</w:t>
            </w:r>
          </w:p>
        </w:tc>
        <w:tc>
          <w:tcPr/>
          <w:p>
            <w:pPr>
              <w:pStyle w:val="Compact"/>
              <w:jc w:val="left"/>
            </w:pPr>
            <w:r>
              <w:t xml:space="preserve">Background; rationale for genetic instruments</w:t>
            </w:r>
          </w:p>
        </w:tc>
        <w:tc>
          <w:tcPr/>
          <w:p>
            <w:pPr>
              <w:pStyle w:val="Compact"/>
              <w:jc w:val="left"/>
            </w:pPr>
            <w:r>
              <w:t xml:space="preserve">Introduction</w:t>
            </w:r>
          </w:p>
        </w:tc>
      </w:tr>
      <w:tr>
        <w:tc>
          <w:tcPr/>
          <w:p>
            <w:pPr>
              <w:pStyle w:val="Compact"/>
              <w:jc w:val="left"/>
            </w:pPr>
            <w:r>
              <w:t xml:space="preserve">3</w:t>
            </w:r>
          </w:p>
        </w:tc>
        <w:tc>
          <w:tcPr/>
          <w:p>
            <w:pPr>
              <w:pStyle w:val="Compact"/>
              <w:jc w:val="left"/>
            </w:pPr>
            <w:r>
              <w:t xml:space="preserve">Explicit hypotheses / objectives</w:t>
            </w:r>
          </w:p>
        </w:tc>
        <w:tc>
          <w:tcPr/>
          <w:p>
            <w:pPr>
              <w:pStyle w:val="Compact"/>
              <w:jc w:val="left"/>
            </w:pPr>
            <w:r>
              <w:t xml:space="preserve">Introduction (end)</w:t>
            </w:r>
          </w:p>
        </w:tc>
      </w:tr>
      <w:tr>
        <w:tc>
          <w:tcPr/>
          <w:p>
            <w:pPr>
              <w:pStyle w:val="Compact"/>
              <w:jc w:val="left"/>
            </w:pPr>
            <w:r>
              <w:t xml:space="preserve">4</w:t>
            </w:r>
          </w:p>
        </w:tc>
        <w:tc>
          <w:tcPr/>
          <w:p>
            <w:pPr>
              <w:pStyle w:val="Compact"/>
              <w:jc w:val="left"/>
            </w:pPr>
            <w:r>
              <w:t xml:space="preserve">Study design &amp; key elements</w:t>
            </w:r>
          </w:p>
        </w:tc>
        <w:tc>
          <w:tcPr/>
          <w:p>
            <w:pPr>
              <w:pStyle w:val="Compact"/>
              <w:jc w:val="left"/>
            </w:pPr>
            <w:r>
              <w:t xml:space="preserve">Methods; Table 1; Figure 1</w:t>
            </w:r>
          </w:p>
        </w:tc>
      </w:tr>
      <w:tr>
        <w:tc>
          <w:tcPr/>
          <w:p>
            <w:pPr>
              <w:pStyle w:val="Compact"/>
              <w:jc w:val="left"/>
            </w:pPr>
            <w:r>
              <w:t xml:space="preserve">5</w:t>
            </w:r>
          </w:p>
        </w:tc>
        <w:tc>
          <w:tcPr/>
          <w:p>
            <w:pPr>
              <w:pStyle w:val="Compact"/>
              <w:jc w:val="left"/>
            </w:pPr>
            <w:r>
              <w:t xml:space="preserve">Data sources, settings, populations</w:t>
            </w:r>
          </w:p>
        </w:tc>
        <w:tc>
          <w:tcPr/>
          <w:p>
            <w:pPr>
              <w:pStyle w:val="Compact"/>
              <w:jc w:val="left"/>
            </w:pPr>
            <w:r>
              <w:t xml:space="preserve">Methods; Table 1</w:t>
            </w:r>
          </w:p>
        </w:tc>
      </w:tr>
      <w:tr>
        <w:tc>
          <w:tcPr/>
          <w:p>
            <w:pPr>
              <w:pStyle w:val="Compact"/>
              <w:jc w:val="left"/>
            </w:pPr>
            <w:r>
              <w:t xml:space="preserve">6a</w:t>
            </w:r>
          </w:p>
        </w:tc>
        <w:tc>
          <w:tcPr/>
          <w:p>
            <w:pPr>
              <w:pStyle w:val="Compact"/>
              <w:jc w:val="left"/>
            </w:pPr>
            <w:r>
              <w:t xml:space="preserve">Instrument selection criteria</w:t>
            </w:r>
          </w:p>
        </w:tc>
        <w:tc>
          <w:tcPr/>
          <w:p>
            <w:pPr>
              <w:pStyle w:val="Compact"/>
              <w:jc w:val="left"/>
            </w:pPr>
            <w:r>
              <w:t xml:space="preserve">Methods (eQTLGen; Finan druggable genome; cis P &lt; 5×10⁻⁸)</w:t>
            </w:r>
          </w:p>
        </w:tc>
      </w:tr>
      <w:tr>
        <w:tc>
          <w:tcPr/>
          <w:p>
            <w:pPr>
              <w:pStyle w:val="Compact"/>
              <w:jc w:val="left"/>
            </w:pPr>
            <w:r>
              <w:t xml:space="preserve">6b</w:t>
            </w:r>
          </w:p>
        </w:tc>
        <w:tc>
          <w:tcPr/>
          <w:p>
            <w:pPr>
              <w:pStyle w:val="Compact"/>
              <w:jc w:val="left"/>
            </w:pPr>
            <w:r>
              <w:t xml:space="preserve">MR assumptions (relevance, independence, exclusion)</w:t>
            </w:r>
          </w:p>
        </w:tc>
        <w:tc>
          <w:tcPr/>
          <w:p>
            <w:pPr>
              <w:pStyle w:val="Compact"/>
              <w:jc w:val="left"/>
            </w:pPr>
            <w:r>
              <w:t xml:space="preserve">Methods; Discussion (limitations)</w:t>
            </w:r>
          </w:p>
        </w:tc>
      </w:tr>
      <w:tr>
        <w:tc>
          <w:tcPr/>
          <w:p>
            <w:pPr>
              <w:pStyle w:val="Compact"/>
              <w:jc w:val="left"/>
            </w:pPr>
            <w:r>
              <w:t xml:space="preserve">7</w:t>
            </w:r>
          </w:p>
        </w:tc>
        <w:tc>
          <w:tcPr/>
          <w:p>
            <w:pPr>
              <w:pStyle w:val="Compact"/>
              <w:jc w:val="left"/>
            </w:pPr>
            <w:r>
              <w:t xml:space="preserve">Variable definition (exposure, outcome)</w:t>
            </w:r>
          </w:p>
        </w:tc>
        <w:tc>
          <w:tcPr/>
          <w:p>
            <w:pPr>
              <w:pStyle w:val="Compact"/>
              <w:jc w:val="left"/>
            </w:pPr>
            <w:r>
              <w:t xml:space="preserve">Methods</w:t>
            </w:r>
          </w:p>
        </w:tc>
      </w:tr>
      <w:tr>
        <w:tc>
          <w:tcPr/>
          <w:p>
            <w:pPr>
              <w:pStyle w:val="Compact"/>
              <w:jc w:val="left"/>
            </w:pPr>
            <w:r>
              <w:t xml:space="preserve">8</w:t>
            </w:r>
          </w:p>
        </w:tc>
        <w:tc>
          <w:tcPr/>
          <w:p>
            <w:pPr>
              <w:pStyle w:val="Compact"/>
              <w:jc w:val="left"/>
            </w:pPr>
            <w:r>
              <w:t xml:space="preserve">Effect measures &amp; scale (log-odds; UKB rescaling)</w:t>
            </w:r>
          </w:p>
        </w:tc>
        <w:tc>
          <w:tcPr/>
          <w:p>
            <w:pPr>
              <w:pStyle w:val="Compact"/>
              <w:jc w:val="left"/>
            </w:pPr>
            <w:r>
              <w:t xml:space="preserve">Methods; Table 1 footnote</w:t>
            </w:r>
          </w:p>
        </w:tc>
      </w:tr>
      <w:tr>
        <w:tc>
          <w:tcPr/>
          <w:p>
            <w:pPr>
              <w:pStyle w:val="Compact"/>
              <w:jc w:val="left"/>
            </w:pPr>
            <w:r>
              <w:t xml:space="preserve">9</w:t>
            </w:r>
          </w:p>
        </w:tc>
        <w:tc>
          <w:tcPr/>
          <w:p>
            <w:pPr>
              <w:pStyle w:val="Compact"/>
              <w:jc w:val="left"/>
            </w:pPr>
            <w:r>
              <w:t xml:space="preserve">Statistical methods (IVW, MR-Egger, WM, Wmode; coloc.abf)</w:t>
            </w:r>
          </w:p>
        </w:tc>
        <w:tc>
          <w:tcPr/>
          <w:p>
            <w:pPr>
              <w:pStyle w:val="Compact"/>
              <w:jc w:val="left"/>
            </w:pPr>
            <w:r>
              <w:t xml:space="preserve">Methods</w:t>
            </w:r>
          </w:p>
        </w:tc>
      </w:tr>
      <w:tr>
        <w:tc>
          <w:tcPr/>
          <w:p>
            <w:pPr>
              <w:pStyle w:val="Compact"/>
              <w:jc w:val="left"/>
            </w:pPr>
            <w:r>
              <w:t xml:space="preserve">10</w:t>
            </w:r>
          </w:p>
        </w:tc>
        <w:tc>
          <w:tcPr/>
          <w:p>
            <w:pPr>
              <w:pStyle w:val="Compact"/>
              <w:jc w:val="left"/>
            </w:pPr>
            <w:r>
              <w:t xml:space="preserve">Sensitivity analyses (pleiotropy, heterogeneity, Steiger)</w:t>
            </w:r>
          </w:p>
        </w:tc>
        <w:tc>
          <w:tcPr/>
          <w:p>
            <w:pPr>
              <w:pStyle w:val="Compact"/>
              <w:jc w:val="left"/>
            </w:pPr>
            <w:r>
              <w:t xml:space="preserve">Methods; Table S6</w:t>
            </w:r>
          </w:p>
        </w:tc>
      </w:tr>
      <w:tr>
        <w:tc>
          <w:tcPr/>
          <w:p>
            <w:pPr>
              <w:pStyle w:val="Compact"/>
              <w:jc w:val="left"/>
            </w:pPr>
            <w:r>
              <w:t xml:space="preserve">11</w:t>
            </w:r>
          </w:p>
        </w:tc>
        <w:tc>
          <w:tcPr/>
          <w:p>
            <w:pPr>
              <w:pStyle w:val="Compact"/>
              <w:jc w:val="left"/>
            </w:pPr>
            <w:r>
              <w:t xml:space="preserve">Software &amp; package versions</w:t>
            </w:r>
          </w:p>
        </w:tc>
        <w:tc>
          <w:tcPr/>
          <w:p>
            <w:pPr>
              <w:pStyle w:val="Compact"/>
              <w:jc w:val="left"/>
            </w:pPr>
            <w:r>
              <w:t xml:space="preserve">Methods; below</w:t>
            </w:r>
          </w:p>
        </w:tc>
      </w:tr>
      <w:tr>
        <w:tc>
          <w:tcPr/>
          <w:p>
            <w:pPr>
              <w:pStyle w:val="Compact"/>
              <w:jc w:val="left"/>
            </w:pPr>
            <w:r>
              <w:t xml:space="preserve">12</w:t>
            </w:r>
          </w:p>
        </w:tc>
        <w:tc>
          <w:tcPr/>
          <w:p>
            <w:pPr>
              <w:pStyle w:val="Compact"/>
              <w:jc w:val="left"/>
            </w:pPr>
            <w:r>
              <w:t xml:space="preserve">Descriptive data (instrument counts, F-statistics, detectable effect range)</w:t>
            </w:r>
          </w:p>
        </w:tc>
        <w:tc>
          <w:tcPr/>
          <w:p>
            <w:pPr>
              <w:pStyle w:val="Compact"/>
              <w:jc w:val="left"/>
            </w:pPr>
            <w:r>
              <w:t xml:space="preserve">Results; Tables S4, S8</w:t>
            </w:r>
          </w:p>
        </w:tc>
      </w:tr>
      <w:tr>
        <w:tc>
          <w:tcPr/>
          <w:p>
            <w:pPr>
              <w:pStyle w:val="Compact"/>
              <w:jc w:val="left"/>
            </w:pPr>
            <w:r>
              <w:t xml:space="preserve">13</w:t>
            </w:r>
          </w:p>
        </w:tc>
        <w:tc>
          <w:tcPr/>
          <w:p>
            <w:pPr>
              <w:pStyle w:val="Compact"/>
              <w:jc w:val="left"/>
            </w:pPr>
            <w:r>
              <w:t xml:space="preserve">Main MR estimates with CIs</w:t>
            </w:r>
          </w:p>
        </w:tc>
        <w:tc>
          <w:tcPr/>
          <w:p>
            <w:pPr>
              <w:pStyle w:val="Compact"/>
              <w:jc w:val="left"/>
            </w:pPr>
            <w:r>
              <w:t xml:space="preserve">Results; Tables 2, 3; Figures 2, 3</w:t>
            </w:r>
          </w:p>
        </w:tc>
      </w:tr>
      <w:tr>
        <w:tc>
          <w:tcPr/>
          <w:p>
            <w:pPr>
              <w:pStyle w:val="Compact"/>
              <w:jc w:val="left"/>
            </w:pPr>
            <w:r>
              <w:t xml:space="preserve">14</w:t>
            </w:r>
          </w:p>
        </w:tc>
        <w:tc>
          <w:tcPr/>
          <w:p>
            <w:pPr>
              <w:pStyle w:val="Compact"/>
              <w:jc w:val="left"/>
            </w:pPr>
            <w:r>
              <w:t xml:space="preserve">Sensitivity / robustness results</w:t>
            </w:r>
          </w:p>
        </w:tc>
        <w:tc>
          <w:tcPr/>
          <w:p>
            <w:pPr>
              <w:pStyle w:val="Compact"/>
              <w:jc w:val="left"/>
            </w:pPr>
            <w:r>
              <w:t xml:space="preserve">Results; Tables S6, S8</w:t>
            </w:r>
          </w:p>
        </w:tc>
      </w:tr>
      <w:tr>
        <w:tc>
          <w:tcPr/>
          <w:p>
            <w:pPr>
              <w:pStyle w:val="Compact"/>
              <w:jc w:val="left"/>
            </w:pPr>
            <w:r>
              <w:t xml:space="preserve">15</w:t>
            </w:r>
          </w:p>
        </w:tc>
        <w:tc>
          <w:tcPr/>
          <w:p>
            <w:pPr>
              <w:pStyle w:val="Compact"/>
              <w:jc w:val="left"/>
            </w:pPr>
            <w:r>
              <w:t xml:space="preserve">Colocalization results</w:t>
            </w:r>
          </w:p>
        </w:tc>
        <w:tc>
          <w:tcPr/>
          <w:p>
            <w:pPr>
              <w:pStyle w:val="Compact"/>
              <w:jc w:val="left"/>
            </w:pPr>
            <w:r>
              <w:t xml:space="preserve">Results; Table 2; Figure 3A; Tables S2, S5</w:t>
            </w:r>
          </w:p>
        </w:tc>
      </w:tr>
      <w:tr>
        <w:tc>
          <w:tcPr/>
          <w:p>
            <w:pPr>
              <w:pStyle w:val="Compact"/>
              <w:jc w:val="left"/>
            </w:pPr>
            <w:r>
              <w:t xml:space="preserve">16</w:t>
            </w:r>
          </w:p>
        </w:tc>
        <w:tc>
          <w:tcPr/>
          <w:p>
            <w:pPr>
              <w:pStyle w:val="Compact"/>
              <w:jc w:val="left"/>
            </w:pPr>
            <w:r>
              <w:t xml:space="preserve">Additional analyses (orbital tissue abundance, descriptive only — no inference)</w:t>
            </w:r>
          </w:p>
        </w:tc>
        <w:tc>
          <w:tcPr/>
          <w:p>
            <w:pPr>
              <w:pStyle w:val="Compact"/>
              <w:jc w:val="left"/>
            </w:pPr>
            <w:r>
              <w:t xml:space="preserve">Results; Figure S1</w:t>
            </w:r>
          </w:p>
        </w:tc>
      </w:tr>
      <w:tr>
        <w:tc>
          <w:tcPr/>
          <w:p>
            <w:pPr>
              <w:pStyle w:val="Compact"/>
              <w:jc w:val="left"/>
            </w:pPr>
            <w:r>
              <w:t xml:space="preserve">17</w:t>
            </w:r>
          </w:p>
        </w:tc>
        <w:tc>
          <w:tcPr/>
          <w:p>
            <w:pPr>
              <w:pStyle w:val="Compact"/>
              <w:jc w:val="left"/>
            </w:pPr>
            <w:r>
              <w:t xml:space="preserve">Key results in context</w:t>
            </w:r>
          </w:p>
        </w:tc>
        <w:tc>
          <w:tcPr/>
          <w:p>
            <w:pPr>
              <w:pStyle w:val="Compact"/>
              <w:jc w:val="left"/>
            </w:pPr>
            <w:r>
              <w:t xml:space="preserve">Discussion</w:t>
            </w:r>
          </w:p>
        </w:tc>
      </w:tr>
      <w:tr>
        <w:tc>
          <w:tcPr/>
          <w:p>
            <w:pPr>
              <w:pStyle w:val="Compact"/>
              <w:jc w:val="left"/>
            </w:pPr>
            <w:r>
              <w:t xml:space="preserve">18</w:t>
            </w:r>
          </w:p>
        </w:tc>
        <w:tc>
          <w:tcPr/>
          <w:p>
            <w:pPr>
              <w:pStyle w:val="Compact"/>
              <w:jc w:val="left"/>
            </w:pPr>
            <w:r>
              <w:t xml:space="preserve">Limitations (blood eQTL vs orbital tissue; European eQTL vs East Asian discovery; broader UKB phenotype; single-IV</w:t>
            </w:r>
            <w:r>
              <w:t xml:space="preserve"> </w:t>
            </w:r>
            <w:r>
              <w:rPr>
                <w:iCs/>
                <w:i/>
              </w:rPr>
              <w:t xml:space="preserve">TSHR</w:t>
            </w:r>
            <w:r>
              <w:t xml:space="preserve">; limited power in the 858-case TED-enriched outcome; TED-enriched outcome is not a within-Graves TED-specific contrast; coloc single-causal-variant assumption and single European allele-frequency reference; no formal colocalization power analysis; non-uniform behaviour of the single positive control; exploratory n = 1-control tissue analysis)</w:t>
            </w:r>
          </w:p>
        </w:tc>
        <w:tc>
          <w:tcPr/>
          <w:p>
            <w:pPr>
              <w:pStyle w:val="Compact"/>
              <w:jc w:val="left"/>
            </w:pPr>
            <w:r>
              <w:t xml:space="preserve">Discussion (limitations paragraph)</w:t>
            </w:r>
          </w:p>
        </w:tc>
      </w:tr>
      <w:tr>
        <w:tc>
          <w:tcPr/>
          <w:p>
            <w:pPr>
              <w:pStyle w:val="Compact"/>
              <w:jc w:val="left"/>
            </w:pPr>
            <w:r>
              <w:t xml:space="preserve">19</w:t>
            </w:r>
          </w:p>
        </w:tc>
        <w:tc>
          <w:tcPr/>
          <w:p>
            <w:pPr>
              <w:pStyle w:val="Compact"/>
              <w:jc w:val="left"/>
            </w:pPr>
            <w:r>
              <w:t xml:space="preserve">Interpretation (susceptibility-anchor vs effector)</w:t>
            </w:r>
          </w:p>
        </w:tc>
        <w:tc>
          <w:tcPr/>
          <w:p>
            <w:pPr>
              <w:pStyle w:val="Compact"/>
              <w:jc w:val="left"/>
            </w:pPr>
            <w:r>
              <w:t xml:space="preserve">Discussion</w:t>
            </w:r>
          </w:p>
        </w:tc>
      </w:tr>
      <w:tr>
        <w:tc>
          <w:tcPr/>
          <w:p>
            <w:pPr>
              <w:pStyle w:val="Compact"/>
              <w:jc w:val="left"/>
            </w:pPr>
            <w:r>
              <w:t xml:space="preserve">20</w:t>
            </w:r>
          </w:p>
        </w:tc>
        <w:tc>
          <w:tcPr/>
          <w:p>
            <w:pPr>
              <w:pStyle w:val="Compact"/>
              <w:jc w:val="left"/>
            </w:pPr>
            <w:r>
              <w:t xml:space="preserve">Generalizability</w:t>
            </w:r>
          </w:p>
        </w:tc>
        <w:tc>
          <w:tcPr/>
          <w:p>
            <w:pPr>
              <w:pStyle w:val="Compact"/>
              <w:jc w:val="left"/>
            </w:pPr>
            <w:r>
              <w:t xml:space="preserve">Discussion</w:t>
            </w:r>
          </w:p>
        </w:tc>
      </w:tr>
      <w:tr>
        <w:tc>
          <w:tcPr/>
          <w:p>
            <w:pPr>
              <w:pStyle w:val="Compact"/>
              <w:jc w:val="left"/>
            </w:pPr>
            <w:r>
              <w:t xml:space="preserve">21</w:t>
            </w:r>
          </w:p>
        </w:tc>
        <w:tc>
          <w:tcPr/>
          <w:p>
            <w:pPr>
              <w:pStyle w:val="Compact"/>
              <w:jc w:val="left"/>
            </w:pPr>
            <w:r>
              <w:t xml:space="preserve">Funding</w:t>
            </w:r>
          </w:p>
        </w:tc>
        <w:tc>
          <w:tcPr/>
          <w:p>
            <w:pPr>
              <w:pStyle w:val="Compact"/>
              <w:jc w:val="left"/>
            </w:pPr>
            <w:r>
              <w:t xml:space="preserve">Declarations</w:t>
            </w:r>
          </w:p>
        </w:tc>
      </w:tr>
      <w:tr>
        <w:tc>
          <w:tcPr/>
          <w:p>
            <w:pPr>
              <w:pStyle w:val="Compact"/>
              <w:jc w:val="left"/>
            </w:pPr>
            <w:r>
              <w:t xml:space="preserve">22</w:t>
            </w:r>
          </w:p>
        </w:tc>
        <w:tc>
          <w:tcPr/>
          <w:p>
            <w:pPr>
              <w:pStyle w:val="Compact"/>
              <w:jc w:val="left"/>
            </w:pPr>
            <w:r>
              <w:t xml:space="preserve">Data availability</w:t>
            </w:r>
          </w:p>
        </w:tc>
        <w:tc>
          <w:tcPr/>
          <w:p>
            <w:pPr>
              <w:pStyle w:val="Compact"/>
              <w:jc w:val="left"/>
            </w:pPr>
            <w:r>
              <w:t xml:space="preserve">Declarations (public summary statistics: eQTLGen, GWAS Catalog, FinnGen)</w:t>
            </w:r>
          </w:p>
        </w:tc>
      </w:tr>
    </w:tbl>
    <w:p>
      <w:pPr>
        <w:pStyle w:val="BodyText"/>
      </w:pPr>
      <w:r>
        <w:rPr>
          <w:iCs/>
          <w:i/>
        </w:rPr>
        <w:t xml:space="preserve">Software and package versions: R 4.3.3; TwoSampleMR v0.7.4; ieugwasr; coloc v5.2.3; PLINK v1.9. Reporting follows the STROBE-MR statement (Skrivankova et al., JAMA 2021).</w:t>
      </w:r>
    </w:p>
    <w:p>
      <w:pPr>
        <w:numPr>
          <w:ilvl w:val="0"/>
          <w:numId w:val="1004"/>
        </w:numPr>
      </w:pPr>
      <w:r>
        <w:rPr>
          <w:bCs/>
          <w:b/>
        </w:rPr>
        <w:t xml:space="preserve">Table S8.</w:t>
      </w:r>
      <w:r>
        <w:t xml:space="preserve"> </w:t>
      </w:r>
      <w:r>
        <w:t xml:space="preserve">Detectable effect range of the druggable-gene-wide screen. Minimum effect detectable with 80% power was computed per gene and outcome from the empirical standard error of the primary MR estimate as |β|min = (</w:t>
      </w:r>
      <w:r>
        <w:rPr>
          <w:iCs/>
          <w:i/>
        </w:rPr>
        <w:t xml:space="preserve">z</w:t>
      </w:r>
      <w:r>
        <w:t xml:space="preserve">1−α/2 +</w:t>
      </w:r>
      <w:r>
        <w:t xml:space="preserve"> </w:t>
      </w:r>
      <w:r>
        <w:rPr>
          <w:iCs/>
          <w:i/>
        </w:rPr>
        <w:t xml:space="preserve">z</w:t>
      </w:r>
      <w:r>
        <w:t xml:space="preserve">0.80) × SE, with α = 1.965×10⁻⁵ (discovery) or α = 0.05 (replication, TED-enriched).</w:t>
      </w:r>
    </w:p>
    <w:p>
      <w:pPr>
        <w:numPr>
          <w:ilvl w:val="0"/>
          <w:numId w:val="1000"/>
        </w:numPr>
      </w:pPr>
      <w:r>
        <w:rPr>
          <w:bCs/>
          <w:b/>
        </w:rPr>
        <w:t xml:space="preserve">Panel A. Screen-wide detectable range.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Outcome</w:t>
            </w:r>
          </w:p>
        </w:tc>
        <w:tc>
          <w:tcPr/>
          <w:p>
            <w:pPr>
              <w:pStyle w:val="Compact"/>
              <w:jc w:val="left"/>
            </w:pPr>
            <w:r>
              <w:t xml:space="preserve">Significance threshold</w:t>
            </w:r>
          </w:p>
        </w:tc>
        <w:tc>
          <w:tcPr/>
          <w:p>
            <w:pPr>
              <w:pStyle w:val="Compact"/>
              <w:jc w:val="left"/>
            </w:pPr>
            <w:r>
              <w:t xml:space="preserve">Genes</w:t>
            </w:r>
          </w:p>
        </w:tc>
        <w:tc>
          <w:tcPr/>
          <w:p>
            <w:pPr>
              <w:pStyle w:val="Compact"/>
              <w:jc w:val="left"/>
            </w:pPr>
            <w:r>
              <w:t xml:space="preserve">Median |β|min (IQR)</w:t>
            </w:r>
          </w:p>
        </w:tc>
        <w:tc>
          <w:tcPr/>
          <w:p>
            <w:pPr>
              <w:pStyle w:val="Compact"/>
              <w:jc w:val="left"/>
            </w:pPr>
            <w:r>
              <w:t xml:space="preserve">Median detectable OR (IQR)</w:t>
            </w:r>
          </w:p>
        </w:tc>
        <w:tc>
          <w:tcPr/>
          <w:p>
            <w:pPr>
              <w:pStyle w:val="Compact"/>
              <w:jc w:val="left"/>
            </w:pPr>
            <w:r>
              <w:t xml:space="preserve">Genes powered for OR ≥ 1.5</w:t>
            </w:r>
          </w:p>
        </w:tc>
        <w:tc>
          <w:tcPr/>
          <w:p>
            <w:pPr>
              <w:pStyle w:val="Compact"/>
              <w:jc w:val="left"/>
            </w:pPr>
            <w:r>
              <w:t xml:space="preserve">OR ≥ 2.0</w:t>
            </w:r>
          </w:p>
        </w:tc>
        <w:tc>
          <w:tcPr/>
          <w:p>
            <w:pPr>
              <w:pStyle w:val="Compact"/>
              <w:jc w:val="left"/>
            </w:pPr>
            <w:r>
              <w:t xml:space="preserve">OR ≥ 3.0</w:t>
            </w:r>
          </w:p>
        </w:tc>
      </w:tr>
      <w:tr>
        <w:tc>
          <w:tcPr/>
          <w:p>
            <w:pPr>
              <w:pStyle w:val="Compact"/>
              <w:jc w:val="left"/>
            </w:pPr>
            <w:r>
              <w:t xml:space="preserve">BBJ Graves (discovery)</w:t>
            </w:r>
          </w:p>
        </w:tc>
        <w:tc>
          <w:tcPr/>
          <w:p>
            <w:pPr>
              <w:pStyle w:val="Compact"/>
              <w:jc w:val="left"/>
            </w:pPr>
            <w:r>
              <w:rPr>
                <w:iCs/>
                <w:i/>
              </w:rPr>
              <w:t xml:space="preserve">P</w:t>
            </w:r>
            <w:r>
              <w:t xml:space="preserve"> </w:t>
            </w:r>
            <w:r>
              <w:t xml:space="preserve">&lt; 1.965×10⁻⁵</w:t>
            </w:r>
          </w:p>
        </w:tc>
        <w:tc>
          <w:tcPr/>
          <w:p>
            <w:pPr>
              <w:pStyle w:val="Compact"/>
              <w:jc w:val="left"/>
            </w:pPr>
            <w:r>
              <w:t xml:space="preserve">2,234</w:t>
            </w:r>
          </w:p>
        </w:tc>
        <w:tc>
          <w:tcPr/>
          <w:p>
            <w:pPr>
              <w:pStyle w:val="Compact"/>
              <w:jc w:val="left"/>
            </w:pPr>
            <w:r>
              <w:t xml:space="preserve">0.94 (0.54–1.65)</w:t>
            </w:r>
          </w:p>
        </w:tc>
        <w:tc>
          <w:tcPr/>
          <w:p>
            <w:pPr>
              <w:pStyle w:val="Compact"/>
              <w:jc w:val="left"/>
            </w:pPr>
            <w:r>
              <w:t xml:space="preserve">2.55 (1.71–5.19)</w:t>
            </w:r>
          </w:p>
        </w:tc>
        <w:tc>
          <w:tcPr/>
          <w:p>
            <w:pPr>
              <w:pStyle w:val="Compact"/>
              <w:jc w:val="left"/>
            </w:pPr>
            <w:r>
              <w:t xml:space="preserve">14.6%</w:t>
            </w:r>
          </w:p>
        </w:tc>
        <w:tc>
          <w:tcPr/>
          <w:p>
            <w:pPr>
              <w:pStyle w:val="Compact"/>
              <w:jc w:val="left"/>
            </w:pPr>
            <w:r>
              <w:t xml:space="preserve">35.6%</w:t>
            </w:r>
          </w:p>
        </w:tc>
        <w:tc>
          <w:tcPr/>
          <w:p>
            <w:pPr>
              <w:pStyle w:val="Compact"/>
              <w:jc w:val="left"/>
            </w:pPr>
            <w:r>
              <w:t xml:space="preserve">57.7%</w:t>
            </w:r>
          </w:p>
        </w:tc>
      </w:tr>
      <w:tr>
        <w:tc>
          <w:tcPr/>
          <w:p>
            <w:pPr>
              <w:pStyle w:val="Compact"/>
              <w:jc w:val="left"/>
            </w:pPr>
            <w:r>
              <w:t xml:space="preserve">UKB hyperthyroid (replication)</w:t>
            </w:r>
          </w:p>
        </w:tc>
        <w:tc>
          <w:tcPr/>
          <w:p>
            <w:pPr>
              <w:pStyle w:val="Compact"/>
              <w:jc w:val="left"/>
            </w:pPr>
            <w:r>
              <w:rPr>
                <w:iCs/>
                <w:i/>
              </w:rPr>
              <w:t xml:space="preserve">P</w:t>
            </w:r>
            <w:r>
              <w:t xml:space="preserve"> </w:t>
            </w:r>
            <w:r>
              <w:t xml:space="preserve">&lt; 0.05</w:t>
            </w:r>
          </w:p>
        </w:tc>
        <w:tc>
          <w:tcPr/>
          <w:p>
            <w:pPr>
              <w:pStyle w:val="Compact"/>
              <w:jc w:val="left"/>
            </w:pPr>
            <w:r>
              <w:t xml:space="preserve">2,506</w:t>
            </w:r>
          </w:p>
        </w:tc>
        <w:tc>
          <w:tcPr/>
          <w:p>
            <w:pPr>
              <w:pStyle w:val="Compact"/>
              <w:jc w:val="left"/>
            </w:pPr>
            <w:r>
              <w:t xml:space="preserve">0.38 (0.23–0.65)</w:t>
            </w:r>
          </w:p>
        </w:tc>
        <w:tc>
          <w:tcPr/>
          <w:p>
            <w:pPr>
              <w:pStyle w:val="Compact"/>
              <w:jc w:val="left"/>
            </w:pPr>
            <w:r>
              <w:t xml:space="preserve">1.46 (1.26–1.92)</w:t>
            </w:r>
          </w:p>
        </w:tc>
        <w:tc>
          <w:tcPr/>
          <w:p>
            <w:pPr>
              <w:pStyle w:val="Compact"/>
              <w:jc w:val="left"/>
            </w:pPr>
            <w:r>
              <w:t xml:space="preserve">53.7%</w:t>
            </w:r>
          </w:p>
        </w:tc>
        <w:tc>
          <w:tcPr/>
          <w:p>
            <w:pPr>
              <w:pStyle w:val="Compact"/>
              <w:jc w:val="left"/>
            </w:pPr>
            <w:r>
              <w:t xml:space="preserve">77.4%</w:t>
            </w:r>
          </w:p>
        </w:tc>
        <w:tc>
          <w:tcPr/>
          <w:p>
            <w:pPr>
              <w:pStyle w:val="Compact"/>
              <w:jc w:val="left"/>
            </w:pPr>
            <w:r>
              <w:t xml:space="preserve">93.1%</w:t>
            </w:r>
          </w:p>
        </w:tc>
      </w:tr>
      <w:tr>
        <w:tc>
          <w:tcPr/>
          <w:p>
            <w:pPr>
              <w:pStyle w:val="Compact"/>
              <w:jc w:val="left"/>
            </w:pPr>
            <w:r>
              <w:t xml:space="preserve">FinnGen Graves ophthalmopathy (TED-enriched)</w:t>
            </w:r>
          </w:p>
        </w:tc>
        <w:tc>
          <w:tcPr/>
          <w:p>
            <w:pPr>
              <w:pStyle w:val="Compact"/>
              <w:jc w:val="left"/>
            </w:pPr>
            <w:r>
              <w:rPr>
                <w:iCs/>
                <w:i/>
              </w:rPr>
              <w:t xml:space="preserve">P</w:t>
            </w:r>
            <w:r>
              <w:t xml:space="preserve"> </w:t>
            </w:r>
            <w:r>
              <w:t xml:space="preserve">&lt; 0.05</w:t>
            </w:r>
          </w:p>
        </w:tc>
        <w:tc>
          <w:tcPr/>
          <w:p>
            <w:pPr>
              <w:pStyle w:val="Compact"/>
              <w:jc w:val="left"/>
            </w:pPr>
            <w:r>
              <w:t xml:space="preserve">2,481</w:t>
            </w:r>
          </w:p>
        </w:tc>
        <w:tc>
          <w:tcPr/>
          <w:p>
            <w:pPr>
              <w:pStyle w:val="Compact"/>
              <w:jc w:val="left"/>
            </w:pPr>
            <w:r>
              <w:t xml:space="preserve">0.75 (0.46–1.34)</w:t>
            </w:r>
          </w:p>
        </w:tc>
        <w:tc>
          <w:tcPr/>
          <w:p>
            <w:pPr>
              <w:pStyle w:val="Compact"/>
              <w:jc w:val="left"/>
            </w:pPr>
            <w:r>
              <w:t xml:space="preserve">2.12 (1.58–3.82)</w:t>
            </w:r>
          </w:p>
        </w:tc>
        <w:tc>
          <w:tcPr/>
          <w:p>
            <w:pPr>
              <w:pStyle w:val="Compact"/>
              <w:jc w:val="left"/>
            </w:pPr>
            <w:r>
              <w:t xml:space="preserve">19.4%</w:t>
            </w:r>
          </w:p>
        </w:tc>
        <w:tc>
          <w:tcPr/>
          <w:p>
            <w:pPr>
              <w:pStyle w:val="Compact"/>
              <w:jc w:val="left"/>
            </w:pPr>
            <w:r>
              <w:t xml:space="preserve">45.5%</w:t>
            </w:r>
          </w:p>
        </w:tc>
        <w:tc>
          <w:tcPr/>
          <w:p>
            <w:pPr>
              <w:pStyle w:val="Compact"/>
              <w:jc w:val="left"/>
            </w:pPr>
            <w:r>
              <w:t xml:space="preserve">67.3%</w:t>
            </w:r>
          </w:p>
        </w:tc>
      </w:tr>
    </w:tbl>
    <w:p>
      <w:pPr>
        <w:pStyle w:val="BodyText"/>
      </w:pPr>
      <w:r>
        <w:rPr>
          <w:bCs/>
          <w:b/>
        </w:rPr>
        <w:t xml:space="preserve">Panel B. Backbone genes: observed effect versus gene-specific detection threshold.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Observed β</w:t>
            </w:r>
          </w:p>
        </w:tc>
        <w:tc>
          <w:tcPr/>
          <w:p>
            <w:pPr>
              <w:pStyle w:val="Compact"/>
              <w:jc w:val="left"/>
            </w:pPr>
            <w:r>
              <w:t xml:space="preserve">SE</w:t>
            </w:r>
          </w:p>
        </w:tc>
        <w:tc>
          <w:tcPr/>
          <w:p>
            <w:pPr>
              <w:pStyle w:val="Compact"/>
              <w:jc w:val="left"/>
            </w:pPr>
            <w:r>
              <w:t xml:space="preserve">|β|min (80% power)</w:t>
            </w:r>
          </w:p>
        </w:tc>
        <w:tc>
          <w:tcPr/>
          <w:p>
            <w:pPr>
              <w:pStyle w:val="Compact"/>
              <w:jc w:val="left"/>
            </w:pPr>
            <w:r>
              <w:t xml:space="preserve">Detectable OR</w:t>
            </w:r>
          </w:p>
        </w:tc>
        <w:tc>
          <w:tcPr/>
          <w:p>
            <w:pPr>
              <w:pStyle w:val="Compact"/>
              <w:jc w:val="left"/>
            </w:pPr>
            <w:r>
              <w:t xml:space="preserve">Observed effect detectable?</w:t>
            </w:r>
          </w:p>
        </w:tc>
      </w:tr>
      <w:tr>
        <w:tc>
          <w:tcPr/>
          <w:p>
            <w:pPr>
              <w:pStyle w:val="Compact"/>
              <w:jc w:val="left"/>
            </w:pPr>
            <w:r>
              <w:rPr>
                <w:iCs/>
                <w:i/>
                <w:bCs/>
                <w:b/>
              </w:rPr>
              <w:t xml:space="preserve">TSHR</w:t>
            </w:r>
          </w:p>
        </w:tc>
        <w:tc>
          <w:tcPr/>
          <w:p>
            <w:pPr>
              <w:pStyle w:val="Compact"/>
              <w:jc w:val="left"/>
            </w:pPr>
            <w:r>
              <w:t xml:space="preserve">BBJ Graves</w:t>
            </w:r>
          </w:p>
        </w:tc>
        <w:tc>
          <w:tcPr/>
          <w:p>
            <w:pPr>
              <w:pStyle w:val="Compact"/>
              <w:jc w:val="left"/>
            </w:pPr>
            <w:r>
              <w:t xml:space="preserve">−2.096</w:t>
            </w:r>
          </w:p>
        </w:tc>
        <w:tc>
          <w:tcPr/>
          <w:p>
            <w:pPr>
              <w:pStyle w:val="Compact"/>
              <w:jc w:val="left"/>
            </w:pPr>
            <w:r>
              <w:t xml:space="preserve">0.271</w:t>
            </w:r>
          </w:p>
        </w:tc>
        <w:tc>
          <w:tcPr/>
          <w:p>
            <w:pPr>
              <w:pStyle w:val="Compact"/>
              <w:jc w:val="left"/>
            </w:pPr>
            <w:r>
              <w:t xml:space="preserve">1.386</w:t>
            </w:r>
          </w:p>
        </w:tc>
        <w:tc>
          <w:tcPr/>
          <w:p>
            <w:pPr>
              <w:pStyle w:val="Compact"/>
              <w:jc w:val="left"/>
            </w:pPr>
            <w:r>
              <w:t xml:space="preserve">4.00</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−2.436</w:t>
            </w:r>
          </w:p>
        </w:tc>
        <w:tc>
          <w:tcPr/>
          <w:p>
            <w:pPr>
              <w:pStyle w:val="Compact"/>
              <w:jc w:val="left"/>
            </w:pPr>
            <w:r>
              <w:t xml:space="preserve">0.223</w:t>
            </w:r>
          </w:p>
        </w:tc>
        <w:tc>
          <w:tcPr/>
          <w:p>
            <w:pPr>
              <w:pStyle w:val="Compact"/>
              <w:jc w:val="left"/>
            </w:pPr>
            <w:r>
              <w:t xml:space="preserve">0.625</w:t>
            </w:r>
          </w:p>
        </w:tc>
        <w:tc>
          <w:tcPr/>
          <w:p>
            <w:pPr>
              <w:pStyle w:val="Compact"/>
              <w:jc w:val="left"/>
            </w:pPr>
            <w:r>
              <w:t xml:space="preserve">1.87</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−2.331</w:t>
            </w:r>
          </w:p>
        </w:tc>
        <w:tc>
          <w:tcPr/>
          <w:p>
            <w:pPr>
              <w:pStyle w:val="Compact"/>
              <w:jc w:val="left"/>
            </w:pPr>
            <w:r>
              <w:t xml:space="preserve">0.454</w:t>
            </w:r>
          </w:p>
        </w:tc>
        <w:tc>
          <w:tcPr/>
          <w:p>
            <w:pPr>
              <w:pStyle w:val="Compact"/>
              <w:jc w:val="left"/>
            </w:pPr>
            <w:r>
              <w:t xml:space="preserve">1.272</w:t>
            </w:r>
          </w:p>
        </w:tc>
        <w:tc>
          <w:tcPr/>
          <w:p>
            <w:pPr>
              <w:pStyle w:val="Compact"/>
              <w:jc w:val="left"/>
            </w:pPr>
            <w:r>
              <w:t xml:space="preserve">3.57</w:t>
            </w:r>
          </w:p>
        </w:tc>
        <w:tc>
          <w:tcPr/>
          <w:p>
            <w:pPr>
              <w:pStyle w:val="Compact"/>
              <w:jc w:val="left"/>
            </w:pPr>
            <w:r>
              <w:t xml:space="preserve">Yes</w:t>
            </w:r>
          </w:p>
        </w:tc>
      </w:tr>
      <w:tr>
        <w:tc>
          <w:tcPr/>
          <w:p>
            <w:pPr>
              <w:pStyle w:val="Compact"/>
              <w:jc w:val="left"/>
            </w:pPr>
            <w:r>
              <w:rPr>
                <w:iCs/>
                <w:i/>
                <w:bCs/>
                <w:b/>
              </w:rPr>
              <w:t xml:space="preserve">IGF1R</w:t>
            </w:r>
          </w:p>
        </w:tc>
        <w:tc>
          <w:tcPr/>
          <w:p>
            <w:pPr>
              <w:pStyle w:val="Compact"/>
              <w:jc w:val="left"/>
            </w:pPr>
            <w:r>
              <w:t xml:space="preserve">BBJ Graves</w:t>
            </w:r>
          </w:p>
        </w:tc>
        <w:tc>
          <w:tcPr/>
          <w:p>
            <w:pPr>
              <w:pStyle w:val="Compact"/>
              <w:jc w:val="left"/>
            </w:pPr>
            <w:r>
              <w:t xml:space="preserve">+0.446</w:t>
            </w:r>
          </w:p>
        </w:tc>
        <w:tc>
          <w:tcPr/>
          <w:p>
            <w:pPr>
              <w:pStyle w:val="Compact"/>
              <w:jc w:val="left"/>
            </w:pPr>
            <w:r>
              <w:t xml:space="preserve">0.194</w:t>
            </w:r>
          </w:p>
        </w:tc>
        <w:tc>
          <w:tcPr/>
          <w:p>
            <w:pPr>
              <w:pStyle w:val="Compact"/>
              <w:jc w:val="left"/>
            </w:pPr>
            <w:r>
              <w:t xml:space="preserve">0.989</w:t>
            </w:r>
          </w:p>
        </w:tc>
        <w:tc>
          <w:tcPr/>
          <w:p>
            <w:pPr>
              <w:pStyle w:val="Compact"/>
              <w:jc w:val="left"/>
            </w:pPr>
            <w:r>
              <w:t xml:space="preserve">2.69</w:t>
            </w:r>
          </w:p>
        </w:tc>
        <w:tc>
          <w:tcPr/>
          <w:p>
            <w:pPr>
              <w:pStyle w:val="Compact"/>
              <w:jc w:val="left"/>
            </w:pPr>
            <w:r>
              <w:t xml:space="preserve">No</w:t>
            </w:r>
          </w:p>
        </w:tc>
      </w:tr>
      <w:tr>
        <w:tc>
          <w:tcPr/>
          <w:p>
            <w:pPr>
              <w:pStyle w:val="Compact"/>
            </w:pPr>
          </w:p>
        </w:tc>
        <w:tc>
          <w:tcPr/>
          <w:p>
            <w:pPr>
              <w:pStyle w:val="Compact"/>
              <w:jc w:val="left"/>
            </w:pPr>
            <w:r>
              <w:t xml:space="preserve">UKB hyperthyroid</w:t>
            </w:r>
          </w:p>
        </w:tc>
        <w:tc>
          <w:tcPr/>
          <w:p>
            <w:pPr>
              <w:pStyle w:val="Compact"/>
              <w:jc w:val="left"/>
            </w:pPr>
            <w:r>
              <w:t xml:space="preserve">+0.299</w:t>
            </w:r>
          </w:p>
        </w:tc>
        <w:tc>
          <w:tcPr/>
          <w:p>
            <w:pPr>
              <w:pStyle w:val="Compact"/>
              <w:jc w:val="left"/>
            </w:pPr>
            <w:r>
              <w:t xml:space="preserve">0.119</w:t>
            </w:r>
          </w:p>
        </w:tc>
        <w:tc>
          <w:tcPr/>
          <w:p>
            <w:pPr>
              <w:pStyle w:val="Compact"/>
              <w:jc w:val="left"/>
            </w:pPr>
            <w:r>
              <w:t xml:space="preserve">0.333</w:t>
            </w:r>
          </w:p>
        </w:tc>
        <w:tc>
          <w:tcPr/>
          <w:p>
            <w:pPr>
              <w:pStyle w:val="Compact"/>
              <w:jc w:val="left"/>
            </w:pPr>
            <w:r>
              <w:t xml:space="preserve">1.39</w:t>
            </w:r>
          </w:p>
        </w:tc>
        <w:tc>
          <w:tcPr/>
          <w:p>
            <w:pPr>
              <w:pStyle w:val="Compact"/>
              <w:jc w:val="left"/>
            </w:pPr>
            <w:r>
              <w:t xml:space="preserve">No</w:t>
            </w:r>
          </w:p>
        </w:tc>
      </w:tr>
      <w:tr>
        <w:tc>
          <w:tcPr/>
          <w:p>
            <w:pPr>
              <w:pStyle w:val="Compact"/>
            </w:pPr>
          </w:p>
        </w:tc>
        <w:tc>
          <w:tcPr/>
          <w:p>
            <w:pPr>
              <w:pStyle w:val="Compact"/>
              <w:jc w:val="left"/>
            </w:pPr>
            <w:r>
              <w:t xml:space="preserve">FinnGen GO</w:t>
            </w:r>
          </w:p>
        </w:tc>
        <w:tc>
          <w:tcPr/>
          <w:p>
            <w:pPr>
              <w:pStyle w:val="Compact"/>
              <w:jc w:val="left"/>
            </w:pPr>
            <w:r>
              <w:t xml:space="preserve">+0.342</w:t>
            </w:r>
          </w:p>
        </w:tc>
        <w:tc>
          <w:tcPr/>
          <w:p>
            <w:pPr>
              <w:pStyle w:val="Compact"/>
              <w:jc w:val="left"/>
            </w:pPr>
            <w:r>
              <w:t xml:space="preserve">0.256</w:t>
            </w:r>
          </w:p>
        </w:tc>
        <w:tc>
          <w:tcPr/>
          <w:p>
            <w:pPr>
              <w:pStyle w:val="Compact"/>
              <w:jc w:val="left"/>
            </w:pPr>
            <w:r>
              <w:t xml:space="preserve">0.718</w:t>
            </w:r>
          </w:p>
        </w:tc>
        <w:tc>
          <w:tcPr/>
          <w:p>
            <w:pPr>
              <w:pStyle w:val="Compact"/>
              <w:jc w:val="left"/>
            </w:pPr>
            <w:r>
              <w:t xml:space="preserve">2.05</w:t>
            </w:r>
          </w:p>
        </w:tc>
        <w:tc>
          <w:tcPr/>
          <w:p>
            <w:pPr>
              <w:pStyle w:val="Compact"/>
              <w:jc w:val="left"/>
            </w:pPr>
            <w:r>
              <w:t xml:space="preserve">No</w:t>
            </w:r>
          </w:p>
        </w:tc>
      </w:tr>
      <w:tr>
        <w:tc>
          <w:tcPr/>
          <w:p>
            <w:pPr>
              <w:pStyle w:val="Compact"/>
              <w:jc w:val="left"/>
            </w:pPr>
            <w:r>
              <w:rPr>
                <w:iCs/>
                <w:i/>
                <w:bCs/>
                <w:b/>
              </w:rPr>
              <w:t xml:space="preserve">CTLA4</w:t>
            </w:r>
          </w:p>
        </w:tc>
        <w:tc>
          <w:tcPr/>
          <w:p>
            <w:pPr>
              <w:pStyle w:val="Compact"/>
              <w:jc w:val="left"/>
            </w:pPr>
            <w:r>
              <w:t xml:space="preserve">BBJ Graves</w:t>
            </w:r>
          </w:p>
        </w:tc>
        <w:tc>
          <w:tcPr/>
          <w:p>
            <w:pPr>
              <w:pStyle w:val="Compact"/>
              <w:jc w:val="left"/>
            </w:pPr>
            <w:r>
              <w:t xml:space="preserve">−1.740</w:t>
            </w:r>
          </w:p>
        </w:tc>
        <w:tc>
          <w:tcPr/>
          <w:p>
            <w:pPr>
              <w:pStyle w:val="Compact"/>
              <w:jc w:val="left"/>
            </w:pPr>
            <w:r>
              <w:t xml:space="preserve">0.223</w:t>
            </w:r>
          </w:p>
        </w:tc>
        <w:tc>
          <w:tcPr/>
          <w:p>
            <w:pPr>
              <w:pStyle w:val="Compact"/>
              <w:jc w:val="left"/>
            </w:pPr>
            <w:r>
              <w:t xml:space="preserve">1.137</w:t>
            </w:r>
          </w:p>
        </w:tc>
        <w:tc>
          <w:tcPr/>
          <w:p>
            <w:pPr>
              <w:pStyle w:val="Compact"/>
              <w:jc w:val="left"/>
            </w:pPr>
            <w:r>
              <w:t xml:space="preserve">3.12</w:t>
            </w:r>
          </w:p>
        </w:tc>
        <w:tc>
          <w:tcPr/>
          <w:p>
            <w:pPr>
              <w:pStyle w:val="Compact"/>
              <w:jc w:val="left"/>
            </w:pPr>
            <w:r>
              <w:t xml:space="preserve">Yes</w:t>
            </w:r>
          </w:p>
        </w:tc>
      </w:tr>
      <w:tr>
        <w:tc>
          <w:tcPr/>
          <w:p>
            <w:pPr>
              <w:pStyle w:val="Compact"/>
            </w:pPr>
          </w:p>
        </w:tc>
        <w:tc>
          <w:tcPr/>
          <w:p>
            <w:pPr>
              <w:pStyle w:val="Compact"/>
              <w:jc w:val="left"/>
            </w:pPr>
            <w:r>
              <w:t xml:space="preserve">UKB hyperthyroid</w:t>
            </w:r>
          </w:p>
        </w:tc>
        <w:tc>
          <w:tcPr/>
          <w:p>
            <w:pPr>
              <w:pStyle w:val="Compact"/>
              <w:jc w:val="left"/>
            </w:pPr>
            <w:r>
              <w:t xml:space="preserve">−1.569</w:t>
            </w:r>
          </w:p>
        </w:tc>
        <w:tc>
          <w:tcPr/>
          <w:p>
            <w:pPr>
              <w:pStyle w:val="Compact"/>
              <w:jc w:val="left"/>
            </w:pPr>
            <w:r>
              <w:t xml:space="preserve">0.513</w:t>
            </w:r>
          </w:p>
        </w:tc>
        <w:tc>
          <w:tcPr/>
          <w:p>
            <w:pPr>
              <w:pStyle w:val="Compact"/>
              <w:jc w:val="left"/>
            </w:pPr>
            <w:r>
              <w:t xml:space="preserve">1.436</w:t>
            </w:r>
          </w:p>
        </w:tc>
        <w:tc>
          <w:tcPr/>
          <w:p>
            <w:pPr>
              <w:pStyle w:val="Compact"/>
              <w:jc w:val="left"/>
            </w:pPr>
            <w:r>
              <w:t xml:space="preserve">4.20</w:t>
            </w:r>
          </w:p>
        </w:tc>
        <w:tc>
          <w:tcPr/>
          <w:p>
            <w:pPr>
              <w:pStyle w:val="Compact"/>
              <w:jc w:val="left"/>
            </w:pPr>
            <w:r>
              <w:t xml:space="preserve">Yes</w:t>
            </w:r>
          </w:p>
        </w:tc>
      </w:tr>
      <w:tr>
        <w:tc>
          <w:tcPr/>
          <w:p>
            <w:pPr>
              <w:pStyle w:val="Compact"/>
            </w:pPr>
          </w:p>
        </w:tc>
        <w:tc>
          <w:tcPr/>
          <w:p>
            <w:pPr>
              <w:pStyle w:val="Compact"/>
              <w:jc w:val="left"/>
            </w:pPr>
            <w:r>
              <w:t xml:space="preserve">FinnGen GO</w:t>
            </w:r>
          </w:p>
        </w:tc>
        <w:tc>
          <w:tcPr/>
          <w:p>
            <w:pPr>
              <w:pStyle w:val="Compact"/>
              <w:jc w:val="left"/>
            </w:pPr>
            <w:r>
              <w:t xml:space="preserve">−1.768</w:t>
            </w:r>
          </w:p>
        </w:tc>
        <w:tc>
          <w:tcPr/>
          <w:p>
            <w:pPr>
              <w:pStyle w:val="Compact"/>
              <w:jc w:val="left"/>
            </w:pPr>
            <w:r>
              <w:t xml:space="preserve">0.702</w:t>
            </w:r>
          </w:p>
        </w:tc>
        <w:tc>
          <w:tcPr/>
          <w:p>
            <w:pPr>
              <w:pStyle w:val="Compact"/>
              <w:jc w:val="left"/>
            </w:pPr>
            <w:r>
              <w:t xml:space="preserve">1.968</w:t>
            </w:r>
          </w:p>
        </w:tc>
        <w:tc>
          <w:tcPr/>
          <w:p>
            <w:pPr>
              <w:pStyle w:val="Compact"/>
              <w:jc w:val="left"/>
            </w:pPr>
            <w:r>
              <w:t xml:space="preserve">7.15</w:t>
            </w:r>
          </w:p>
        </w:tc>
        <w:tc>
          <w:tcPr/>
          <w:p>
            <w:pPr>
              <w:pStyle w:val="Compact"/>
              <w:jc w:val="left"/>
            </w:pPr>
            <w:r>
              <w:t xml:space="preserve">No</w:t>
            </w:r>
          </w:p>
        </w:tc>
      </w:tr>
    </w:tbl>
    <w:p>
      <w:pPr>
        <w:pStyle w:val="BodyText"/>
      </w:pPr>
      <w:r>
        <w:rPr>
          <w:iCs/>
          <w:i/>
        </w:rPr>
        <w:t xml:space="preserve">The screen was well powered for large expression-mediated effects and recovered both established anchors (TSHR, CTLA4) at magnitudes exceeding their gene-specific thresholds. IGF1R effects fell below the corresponding thresholds in every outcome, so the absence of study-wide significance at IGF1R is expected for an effect of this size and is not evidence against a genetic contribution; IGF1R was therefore evaluated as a backbone gene across multiple evidence layers rather than on discovery significance alone. Conversely, the absence of a qualifying novel candidate constrains additional large, expression-colocalized druggable effects but not moderate ones. Values are computed from the standard errors of the locked primary MR estimates (reproduced by</w:t>
      </w:r>
      <w:r>
        <w:rPr>
          <w:iCs/>
          <w:i/>
        </w:rPr>
        <w:t xml:space="preserve"> </w:t>
      </w:r>
      <w:r>
        <w:rPr>
          <w:rStyle w:val="VerbatimChar"/>
          <w:iCs/>
          <w:i/>
        </w:rPr>
        <w:t xml:space="preserve">scripts/22_power_analysis_null_screen.py</w:t>
      </w:r>
      <w:r>
        <w:rPr>
          <w:iCs/>
          <w:i/>
        </w:rPr>
        <w:t xml:space="preserve">).</w:t>
      </w:r>
    </w:p>
    <w:p>
      <w:pPr>
        <w:numPr>
          <w:ilvl w:val="0"/>
          <w:numId w:val="1005"/>
        </w:numPr>
        <w:pStyle w:val="Compact"/>
      </w:pPr>
      <w:r>
        <w:rPr>
          <w:bCs/>
          <w:b/>
        </w:rPr>
        <w:t xml:space="preserve">Table S9.</w:t>
      </w:r>
      <w:r>
        <w:t xml:space="preserve"> </w:t>
      </w:r>
      <w:r>
        <w:t xml:space="preserve">Full colocalization posteriors and prior sensitivity for the backbone genes, laid out as Table S2. Two rows fall below the PP.H4 ≥ 0.80 threshold under the most conservative prior:</w:t>
      </w:r>
      <w:r>
        <w:t xml:space="preserve"> </w:t>
      </w:r>
      <w:r>
        <w:rPr>
          <w:iCs/>
          <w:i/>
        </w:rPr>
        <w:t xml:space="preserve">TSHR</w:t>
      </w:r>
      <w:r>
        <w:t xml:space="preserve"> </w:t>
      </w:r>
      <w:r>
        <w:t xml:space="preserve">in the discovery outcome (0.951 → 0.661) and</w:t>
      </w:r>
      <w:r>
        <w:t xml:space="preserve"> </w:t>
      </w:r>
      <w:r>
        <w:rPr>
          <w:iCs/>
          <w:i/>
        </w:rPr>
        <w:t xml:space="preserve">CTLA4</w:t>
      </w:r>
      <w:r>
        <w:t xml:space="preserve"> </w:t>
      </w:r>
      <w:r>
        <w:t xml:space="preserve">in the replication outcome (0.953 → 0.672). The TED-enriched</w:t>
      </w:r>
      <w:r>
        <w:t xml:space="preserve"> </w:t>
      </w:r>
      <w:r>
        <w:rPr>
          <w:iCs/>
          <w:i/>
        </w:rPr>
        <w:t xml:space="preserve">TSHR</w:t>
      </w:r>
      <w:r>
        <w:t xml:space="preserve"> </w:t>
      </w:r>
      <w:r>
        <w:t xml:space="preserve">posterior stays above the threshold throughout (0.986 → 0.875).</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Gene</w:t>
            </w:r>
          </w:p>
        </w:tc>
        <w:tc>
          <w:tcPr/>
          <w:p>
            <w:pPr>
              <w:pStyle w:val="Compact"/>
              <w:jc w:val="left"/>
            </w:pPr>
            <w:r>
              <w:t xml:space="preserve">Outcome</w:t>
            </w:r>
          </w:p>
        </w:tc>
        <w:tc>
          <w:tcPr/>
          <w:p>
            <w:pPr>
              <w:pStyle w:val="Compact"/>
              <w:jc w:val="left"/>
            </w:pPr>
            <w:r>
              <w:t xml:space="preserve">Overlapping SNPs</w:t>
            </w:r>
          </w:p>
        </w:tc>
        <w:tc>
          <w:tcPr/>
          <w:p>
            <w:pPr>
              <w:pStyle w:val="Compact"/>
              <w:jc w:val="left"/>
            </w:pPr>
            <w:r>
              <w:t xml:space="preserve">PP.H0</w:t>
            </w:r>
          </w:p>
        </w:tc>
        <w:tc>
          <w:tcPr/>
          <w:p>
            <w:pPr>
              <w:pStyle w:val="Compact"/>
              <w:jc w:val="left"/>
            </w:pPr>
            <w:r>
              <w:t xml:space="preserve">PP.H1</w:t>
            </w:r>
          </w:p>
        </w:tc>
        <w:tc>
          <w:tcPr/>
          <w:p>
            <w:pPr>
              <w:pStyle w:val="Compact"/>
              <w:jc w:val="left"/>
            </w:pPr>
            <w:r>
              <w:t xml:space="preserve">PP.H2</w:t>
            </w:r>
          </w:p>
        </w:tc>
        <w:tc>
          <w:tcPr/>
          <w:p>
            <w:pPr>
              <w:pStyle w:val="Compact"/>
              <w:jc w:val="left"/>
            </w:pPr>
            <w:r>
              <w:t xml:space="preserve">PP.H3</w:t>
            </w:r>
          </w:p>
        </w:tc>
        <w:tc>
          <w:tcPr/>
          <w:p>
            <w:pPr>
              <w:pStyle w:val="Compact"/>
              <w:jc w:val="left"/>
            </w:pPr>
            <w:r>
              <w:t xml:space="preserve">PP.H4</w:t>
            </w:r>
          </w:p>
        </w:tc>
        <w:tc>
          <w:tcPr/>
          <w:p>
            <w:pPr>
              <w:pStyle w:val="Compact"/>
              <w:jc w:val="left"/>
            </w:pPr>
            <w:r>
              <w:t xml:space="preserve">Top SNP</w:t>
            </w:r>
          </w:p>
        </w:tc>
        <w:tc>
          <w:tcPr/>
          <w:p>
            <w:pPr>
              <w:pStyle w:val="Compact"/>
              <w:jc w:val="left"/>
            </w:pPr>
            <w:r>
              <w:t xml:space="preserve">PP.H4 (p12=10⁻⁶)</w:t>
            </w:r>
          </w:p>
        </w:tc>
        <w:tc>
          <w:tcPr/>
          <w:p>
            <w:pPr>
              <w:pStyle w:val="Compact"/>
              <w:jc w:val="left"/>
            </w:pPr>
            <w:r>
              <w:t xml:space="preserve">PP.H4 (p12=5×10⁻⁶)</w:t>
            </w:r>
          </w:p>
        </w:tc>
      </w:tr>
      <w:tr>
        <w:tc>
          <w:tcPr/>
          <w:p>
            <w:pPr>
              <w:pStyle w:val="Compact"/>
              <w:jc w:val="left"/>
            </w:pPr>
            <w:r>
              <w:rPr>
                <w:iCs/>
                <w:i/>
              </w:rPr>
              <w:t xml:space="preserve">TSHR</w:t>
            </w:r>
          </w:p>
        </w:tc>
        <w:tc>
          <w:tcPr/>
          <w:p>
            <w:pPr>
              <w:pStyle w:val="Compact"/>
              <w:jc w:val="left"/>
            </w:pPr>
            <w:r>
              <w:t xml:space="preserve">BBJ Graves</w:t>
            </w:r>
          </w:p>
        </w:tc>
        <w:tc>
          <w:tcPr/>
          <w:p>
            <w:pPr>
              <w:pStyle w:val="Compact"/>
              <w:jc w:val="left"/>
            </w:pPr>
            <w:r>
              <w:t xml:space="preserve">4,336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0.049</w:t>
            </w:r>
          </w:p>
        </w:tc>
        <w:tc>
          <w:tcPr/>
          <w:p>
            <w:pPr>
              <w:pStyle w:val="Compact"/>
              <w:jc w:val="left"/>
            </w:pPr>
            <w:r>
              <w:t xml:space="preserve">0.951</w:t>
            </w:r>
          </w:p>
        </w:tc>
        <w:tc>
          <w:tcPr/>
          <w:p>
            <w:pPr>
              <w:pStyle w:val="Compact"/>
              <w:jc w:val="left"/>
            </w:pPr>
            <w:r>
              <w:t xml:space="preserve">rs179252</w:t>
            </w:r>
          </w:p>
        </w:tc>
        <w:tc>
          <w:tcPr/>
          <w:p>
            <w:pPr>
              <w:pStyle w:val="Compact"/>
              <w:jc w:val="left"/>
            </w:pPr>
            <w:r>
              <w:t xml:space="preserve">0.661</w:t>
            </w:r>
          </w:p>
        </w:tc>
        <w:tc>
          <w:tcPr/>
          <w:p>
            <w:pPr>
              <w:pStyle w:val="Compact"/>
              <w:jc w:val="left"/>
            </w:pPr>
            <w:r>
              <w:t xml:space="preserve">0.907</w:t>
            </w:r>
          </w:p>
        </w:tc>
      </w:tr>
      <w:tr>
        <w:tc>
          <w:tcPr/>
          <w:p>
            <w:pPr>
              <w:pStyle w:val="Compact"/>
              <w:jc w:val="left"/>
            </w:pPr>
            <w:r>
              <w:rPr>
                <w:iCs/>
                <w:i/>
              </w:rPr>
              <w:t xml:space="preserve">TSHR</w:t>
            </w:r>
          </w:p>
        </w:tc>
        <w:tc>
          <w:tcPr/>
          <w:p>
            <w:pPr>
              <w:pStyle w:val="Compact"/>
              <w:jc w:val="left"/>
            </w:pPr>
            <w:r>
              <w:t xml:space="preserve">UKB hyperthyroid</w:t>
            </w:r>
          </w:p>
        </w:tc>
        <w:tc>
          <w:tcPr/>
          <w:p>
            <w:pPr>
              <w:pStyle w:val="Compact"/>
              <w:jc w:val="left"/>
            </w:pPr>
            <w:r>
              <w:t xml:space="preserve">5,667</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0.774</w:t>
            </w:r>
          </w:p>
        </w:tc>
        <w:tc>
          <w:tcPr/>
          <w:p>
            <w:pPr>
              <w:pStyle w:val="Compact"/>
              <w:jc w:val="left"/>
            </w:pPr>
            <w:r>
              <w:t xml:space="preserve">0.226</w:t>
            </w:r>
          </w:p>
        </w:tc>
        <w:tc>
          <w:tcPr/>
          <w:p>
            <w:pPr>
              <w:pStyle w:val="Compact"/>
              <w:jc w:val="left"/>
            </w:pPr>
            <w:r>
              <w:t xml:space="preserve">rs1023586</w:t>
            </w:r>
          </w:p>
        </w:tc>
        <w:tc>
          <w:tcPr/>
          <w:p>
            <w:pPr>
              <w:pStyle w:val="Compact"/>
              <w:jc w:val="left"/>
            </w:pPr>
            <w:r>
              <w:t xml:space="preserve">0.028</w:t>
            </w:r>
          </w:p>
        </w:tc>
        <w:tc>
          <w:tcPr/>
          <w:p>
            <w:pPr>
              <w:pStyle w:val="Compact"/>
              <w:jc w:val="left"/>
            </w:pPr>
            <w:r>
              <w:t xml:space="preserve">0.128</w:t>
            </w:r>
          </w:p>
        </w:tc>
      </w:tr>
      <w:tr>
        <w:tc>
          <w:tcPr/>
          <w:p>
            <w:pPr>
              <w:pStyle w:val="Compact"/>
              <w:jc w:val="left"/>
            </w:pPr>
            <w:r>
              <w:rPr>
                <w:iCs/>
                <w:i/>
              </w:rPr>
              <w:t xml:space="preserve">TSHR</w:t>
            </w:r>
          </w:p>
        </w:tc>
        <w:tc>
          <w:tcPr/>
          <w:p>
            <w:pPr>
              <w:pStyle w:val="Compact"/>
              <w:jc w:val="left"/>
            </w:pPr>
            <w:r>
              <w:t xml:space="preserve">FinnGen GO</w:t>
            </w:r>
          </w:p>
        </w:tc>
        <w:tc>
          <w:tcPr/>
          <w:p>
            <w:pPr>
              <w:pStyle w:val="Compact"/>
              <w:jc w:val="left"/>
            </w:pPr>
            <w:r>
              <w:t xml:space="preserve">6,579</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0.014</w:t>
            </w:r>
          </w:p>
        </w:tc>
        <w:tc>
          <w:tcPr/>
          <w:p>
            <w:pPr>
              <w:pStyle w:val="Compact"/>
              <w:jc w:val="left"/>
            </w:pPr>
            <w:r>
              <w:t xml:space="preserve">0.986</w:t>
            </w:r>
          </w:p>
        </w:tc>
        <w:tc>
          <w:tcPr/>
          <w:p>
            <w:pPr>
              <w:pStyle w:val="Compact"/>
              <w:jc w:val="left"/>
            </w:pPr>
            <w:r>
              <w:t xml:space="preserve">rs179252</w:t>
            </w:r>
          </w:p>
        </w:tc>
        <w:tc>
          <w:tcPr/>
          <w:p>
            <w:pPr>
              <w:pStyle w:val="Compact"/>
              <w:jc w:val="left"/>
            </w:pPr>
            <w:r>
              <w:t xml:space="preserve">0.875</w:t>
            </w:r>
          </w:p>
        </w:tc>
        <w:tc>
          <w:tcPr/>
          <w:p>
            <w:pPr>
              <w:pStyle w:val="Compact"/>
              <w:jc w:val="left"/>
            </w:pPr>
            <w:r>
              <w:t xml:space="preserve">0.972</w:t>
            </w:r>
          </w:p>
        </w:tc>
      </w:tr>
      <w:tr>
        <w:tc>
          <w:tcPr/>
          <w:p>
            <w:pPr>
              <w:pStyle w:val="Compact"/>
              <w:jc w:val="left"/>
            </w:pPr>
            <w:r>
              <w:rPr>
                <w:iCs/>
                <w:i/>
              </w:rPr>
              <w:t xml:space="preserve">IGF1R</w:t>
            </w:r>
          </w:p>
        </w:tc>
        <w:tc>
          <w:tcPr/>
          <w:p>
            <w:pPr>
              <w:pStyle w:val="Compact"/>
              <w:jc w:val="left"/>
            </w:pPr>
            <w:r>
              <w:t xml:space="preserve">BBJ Graves</w:t>
            </w:r>
          </w:p>
        </w:tc>
        <w:tc>
          <w:tcPr/>
          <w:p>
            <w:pPr>
              <w:pStyle w:val="Compact"/>
              <w:jc w:val="left"/>
            </w:pPr>
            <w:r>
              <w:t xml:space="preserve">5,685</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0.690</w:t>
            </w:r>
          </w:p>
        </w:tc>
        <w:tc>
          <w:tcPr/>
          <w:p>
            <w:pPr>
              <w:pStyle w:val="Compact"/>
              <w:jc w:val="left"/>
            </w:pPr>
            <w:r>
              <w:t xml:space="preserve">0.236</w:t>
            </w:r>
          </w:p>
        </w:tc>
        <w:tc>
          <w:tcPr/>
          <w:p>
            <w:pPr>
              <w:pStyle w:val="Compact"/>
              <w:jc w:val="left"/>
            </w:pPr>
            <w:r>
              <w:t xml:space="preserve">0.073</w:t>
            </w:r>
          </w:p>
        </w:tc>
        <w:tc>
          <w:tcPr/>
          <w:p>
            <w:pPr>
              <w:pStyle w:val="Compact"/>
              <w:jc w:val="left"/>
            </w:pPr>
            <w:r>
              <w:t xml:space="preserve">rs2654980</w:t>
            </w:r>
          </w:p>
        </w:tc>
        <w:tc>
          <w:tcPr/>
          <w:p>
            <w:pPr>
              <w:pStyle w:val="Compact"/>
              <w:jc w:val="left"/>
            </w:pPr>
            <w:r>
              <w:t xml:space="preserve">0.008</w:t>
            </w:r>
          </w:p>
        </w:tc>
        <w:tc>
          <w:tcPr/>
          <w:p>
            <w:pPr>
              <w:pStyle w:val="Compact"/>
              <w:jc w:val="left"/>
            </w:pPr>
            <w:r>
              <w:t xml:space="preserve">0.038</w:t>
            </w:r>
          </w:p>
        </w:tc>
      </w:tr>
      <w:tr>
        <w:tc>
          <w:tcPr/>
          <w:p>
            <w:pPr>
              <w:pStyle w:val="Compact"/>
              <w:jc w:val="left"/>
            </w:pPr>
            <w:r>
              <w:rPr>
                <w:iCs/>
                <w:i/>
              </w:rPr>
              <w:t xml:space="preserve">IGF1R</w:t>
            </w:r>
          </w:p>
        </w:tc>
        <w:tc>
          <w:tcPr/>
          <w:p>
            <w:pPr>
              <w:pStyle w:val="Compact"/>
              <w:jc w:val="left"/>
            </w:pPr>
            <w:r>
              <w:t xml:space="preserve">UKB hyperthyroid</w:t>
            </w:r>
          </w:p>
        </w:tc>
        <w:tc>
          <w:tcPr/>
          <w:p>
            <w:pPr>
              <w:pStyle w:val="Compact"/>
              <w:jc w:val="left"/>
            </w:pPr>
            <w:r>
              <w:t xml:space="preserve">7,394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0.400</w:t>
            </w:r>
          </w:p>
        </w:tc>
        <w:tc>
          <w:tcPr/>
          <w:p>
            <w:pPr>
              <w:pStyle w:val="Compact"/>
              <w:jc w:val="left"/>
            </w:pPr>
            <w:r>
              <w:t xml:space="preserve">0.196</w:t>
            </w:r>
          </w:p>
        </w:tc>
        <w:tc>
          <w:tcPr/>
          <w:p>
            <w:pPr>
              <w:pStyle w:val="Compact"/>
              <w:jc w:val="left"/>
            </w:pPr>
            <w:r>
              <w:t xml:space="preserve">0.404</w:t>
            </w:r>
          </w:p>
        </w:tc>
        <w:tc>
          <w:tcPr/>
          <w:p>
            <w:pPr>
              <w:pStyle w:val="Compact"/>
              <w:jc w:val="left"/>
            </w:pPr>
            <w:r>
              <w:t xml:space="preserve">rs2654980</w:t>
            </w:r>
          </w:p>
        </w:tc>
        <w:tc>
          <w:tcPr/>
          <w:p>
            <w:pPr>
              <w:pStyle w:val="Compact"/>
              <w:jc w:val="left"/>
            </w:pPr>
            <w:r>
              <w:t xml:space="preserve">0.063</w:t>
            </w:r>
          </w:p>
        </w:tc>
        <w:tc>
          <w:tcPr/>
          <w:p>
            <w:pPr>
              <w:pStyle w:val="Compact"/>
              <w:jc w:val="left"/>
            </w:pPr>
            <w:r>
              <w:t xml:space="preserve">0.253</w:t>
            </w:r>
          </w:p>
        </w:tc>
      </w:tr>
      <w:tr>
        <w:tc>
          <w:tcPr/>
          <w:p>
            <w:pPr>
              <w:pStyle w:val="Compact"/>
              <w:jc w:val="left"/>
            </w:pPr>
            <w:r>
              <w:rPr>
                <w:iCs/>
                <w:i/>
              </w:rPr>
              <w:t xml:space="preserve">IGF1R</w:t>
            </w:r>
          </w:p>
        </w:tc>
        <w:tc>
          <w:tcPr/>
          <w:p>
            <w:pPr>
              <w:pStyle w:val="Compact"/>
              <w:jc w:val="left"/>
            </w:pPr>
            <w:r>
              <w:t xml:space="preserve">FinnGen GO</w:t>
            </w:r>
          </w:p>
        </w:tc>
        <w:tc>
          <w:tcPr/>
          <w:p>
            <w:pPr>
              <w:pStyle w:val="Compact"/>
              <w:jc w:val="left"/>
            </w:pPr>
            <w:r>
              <w:t xml:space="preserve">7,740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0.623</w:t>
            </w:r>
          </w:p>
        </w:tc>
        <w:tc>
          <w:tcPr/>
          <w:p>
            <w:pPr>
              <w:pStyle w:val="Compact"/>
              <w:jc w:val="left"/>
            </w:pPr>
            <w:r>
              <w:t xml:space="preserve">0.346</w:t>
            </w:r>
          </w:p>
        </w:tc>
        <w:tc>
          <w:tcPr/>
          <w:p>
            <w:pPr>
              <w:pStyle w:val="Compact"/>
              <w:jc w:val="left"/>
            </w:pPr>
            <w:r>
              <w:t xml:space="preserve">0.032</w:t>
            </w:r>
          </w:p>
        </w:tc>
        <w:tc>
          <w:tcPr/>
          <w:p>
            <w:pPr>
              <w:pStyle w:val="Compact"/>
              <w:jc w:val="left"/>
            </w:pPr>
            <w:r>
              <w:t xml:space="preserve">rs2654980</w:t>
            </w:r>
          </w:p>
        </w:tc>
        <w:tc>
          <w:tcPr/>
          <w:p>
            <w:pPr>
              <w:pStyle w:val="Compact"/>
              <w:jc w:val="left"/>
            </w:pPr>
            <w:r>
              <w:t xml:space="preserve">0.003</w:t>
            </w:r>
          </w:p>
        </w:tc>
        <w:tc>
          <w:tcPr/>
          <w:p>
            <w:pPr>
              <w:pStyle w:val="Compact"/>
              <w:jc w:val="left"/>
            </w:pPr>
            <w:r>
              <w:t xml:space="preserve">0.016</w:t>
            </w:r>
          </w:p>
        </w:tc>
      </w:tr>
      <w:tr>
        <w:tc>
          <w:tcPr/>
          <w:p>
            <w:pPr>
              <w:pStyle w:val="Compact"/>
              <w:jc w:val="left"/>
            </w:pPr>
            <w:r>
              <w:rPr>
                <w:iCs/>
                <w:i/>
              </w:rPr>
              <w:t xml:space="preserve">CTLA4</w:t>
            </w:r>
          </w:p>
        </w:tc>
        <w:tc>
          <w:tcPr/>
          <w:p>
            <w:pPr>
              <w:pStyle w:val="Compact"/>
              <w:jc w:val="left"/>
            </w:pPr>
            <w:r>
              <w:t xml:space="preserve">BBJ Graves</w:t>
            </w:r>
          </w:p>
        </w:tc>
        <w:tc>
          <w:tcPr/>
          <w:p>
            <w:pPr>
              <w:pStyle w:val="Compact"/>
              <w:jc w:val="left"/>
            </w:pPr>
            <w:r>
              <w:t xml:space="preserve">3,014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0.799</w:t>
            </w:r>
          </w:p>
        </w:tc>
        <w:tc>
          <w:tcPr/>
          <w:p>
            <w:pPr>
              <w:pStyle w:val="Compact"/>
              <w:jc w:val="left"/>
            </w:pPr>
            <w:r>
              <w:t xml:space="preserve">0.201</w:t>
            </w:r>
          </w:p>
        </w:tc>
        <w:tc>
          <w:tcPr/>
          <w:p>
            <w:pPr>
              <w:pStyle w:val="Compact"/>
              <w:jc w:val="left"/>
            </w:pPr>
            <w:r>
              <w:t xml:space="preserve">rs231811</w:t>
            </w:r>
          </w:p>
        </w:tc>
        <w:tc>
          <w:tcPr/>
          <w:p>
            <w:pPr>
              <w:pStyle w:val="Compact"/>
              <w:jc w:val="left"/>
            </w:pPr>
            <w:r>
              <w:t xml:space="preserve">0.025</w:t>
            </w:r>
          </w:p>
        </w:tc>
        <w:tc>
          <w:tcPr/>
          <w:p>
            <w:pPr>
              <w:pStyle w:val="Compact"/>
              <w:jc w:val="left"/>
            </w:pPr>
            <w:r>
              <w:t xml:space="preserve">0.112</w:t>
            </w:r>
          </w:p>
        </w:tc>
      </w:tr>
      <w:tr>
        <w:tc>
          <w:tcPr/>
          <w:p>
            <w:pPr>
              <w:pStyle w:val="Compact"/>
              <w:jc w:val="left"/>
            </w:pPr>
            <w:r>
              <w:rPr>
                <w:iCs/>
                <w:i/>
              </w:rPr>
              <w:t xml:space="preserve">CTLA4</w:t>
            </w:r>
          </w:p>
        </w:tc>
        <w:tc>
          <w:tcPr/>
          <w:p>
            <w:pPr>
              <w:pStyle w:val="Compact"/>
              <w:jc w:val="left"/>
            </w:pPr>
            <w:r>
              <w:t xml:space="preserve">UKB hyperthyroid</w:t>
            </w:r>
          </w:p>
        </w:tc>
        <w:tc>
          <w:tcPr/>
          <w:p>
            <w:pPr>
              <w:pStyle w:val="Compact"/>
              <w:jc w:val="left"/>
            </w:pPr>
            <w:r>
              <w:t xml:space="preserve">4,283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0.047</w:t>
            </w:r>
          </w:p>
        </w:tc>
        <w:tc>
          <w:tcPr/>
          <w:p>
            <w:pPr>
              <w:pStyle w:val="Compact"/>
              <w:jc w:val="left"/>
            </w:pPr>
            <w:r>
              <w:t xml:space="preserve">0.953</w:t>
            </w:r>
          </w:p>
        </w:tc>
        <w:tc>
          <w:tcPr/>
          <w:p>
            <w:pPr>
              <w:pStyle w:val="Compact"/>
              <w:jc w:val="left"/>
            </w:pPr>
            <w:r>
              <w:t xml:space="preserve">rs3087243</w:t>
            </w:r>
          </w:p>
        </w:tc>
        <w:tc>
          <w:tcPr/>
          <w:p>
            <w:pPr>
              <w:pStyle w:val="Compact"/>
              <w:jc w:val="left"/>
            </w:pPr>
            <w:r>
              <w:t xml:space="preserve">0.672</w:t>
            </w:r>
          </w:p>
        </w:tc>
        <w:tc>
          <w:tcPr/>
          <w:p>
            <w:pPr>
              <w:pStyle w:val="Compact"/>
              <w:jc w:val="left"/>
            </w:pPr>
            <w:r>
              <w:t xml:space="preserve">0.911</w:t>
            </w:r>
          </w:p>
        </w:tc>
      </w:tr>
      <w:tr>
        <w:tc>
          <w:tcPr/>
          <w:p>
            <w:pPr>
              <w:pStyle w:val="Compact"/>
              <w:jc w:val="left"/>
            </w:pPr>
            <w:r>
              <w:rPr>
                <w:iCs/>
                <w:i/>
              </w:rPr>
              <w:t xml:space="preserve">CTLA4</w:t>
            </w:r>
          </w:p>
        </w:tc>
        <w:tc>
          <w:tcPr/>
          <w:p>
            <w:pPr>
              <w:pStyle w:val="Compact"/>
              <w:jc w:val="left"/>
            </w:pPr>
            <w:r>
              <w:t xml:space="preserve">FinnGen GO</w:t>
            </w:r>
          </w:p>
        </w:tc>
        <w:tc>
          <w:tcPr/>
          <w:p>
            <w:pPr>
              <w:pStyle w:val="Compact"/>
              <w:jc w:val="left"/>
            </w:pPr>
            <w:r>
              <w:t xml:space="preserve">4,924</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0.022</w:t>
            </w:r>
          </w:p>
        </w:tc>
        <w:tc>
          <w:tcPr/>
          <w:p>
            <w:pPr>
              <w:pStyle w:val="Compact"/>
              <w:jc w:val="left"/>
            </w:pPr>
            <w:r>
              <w:t xml:space="preserve">0.978</w:t>
            </w:r>
          </w:p>
        </w:tc>
        <w:tc>
          <w:tcPr/>
          <w:p>
            <w:pPr>
              <w:pStyle w:val="Compact"/>
              <w:jc w:val="left"/>
            </w:pPr>
            <w:r>
              <w:t xml:space="preserve">rs1863800</w:t>
            </w:r>
          </w:p>
        </w:tc>
        <w:tc>
          <w:tcPr/>
          <w:p>
            <w:pPr>
              <w:pStyle w:val="Compact"/>
              <w:jc w:val="left"/>
            </w:pPr>
            <w:r>
              <w:t xml:space="preserve">0.816</w:t>
            </w:r>
          </w:p>
        </w:tc>
        <w:tc>
          <w:tcPr/>
          <w:p>
            <w:pPr>
              <w:pStyle w:val="Compact"/>
              <w:jc w:val="left"/>
            </w:pPr>
            <w:r>
              <w:t xml:space="preserve">0.957</w:t>
            </w:r>
          </w:p>
        </w:tc>
      </w:tr>
    </w:tbl>
    <w:p>
      <w:pPr>
        <w:pStyle w:val="BodyText"/>
      </w:pPr>
      <w:r>
        <w:rPr>
          <w:iCs/>
          <w:i/>
        </w:rPr>
        <w:t xml:space="preserve">Default priors p1 = p2 = 1×10⁻⁴, p12 = 1×10⁻⁵. Posteriors computed from beta and varbeta with ancestry-matched allele frequencies and the case fractions given in Table 1.</w:t>
      </w:r>
    </w:p>
    <w:p>
      <w:pPr>
        <w:pStyle w:val="BodyText"/>
      </w:pPr>
      <w:r>
        <w:rPr>
          <w:bCs/>
          <w:b/>
        </w:rPr>
        <w:t xml:space="preserve">Supplementary Figures</w:t>
      </w:r>
    </w:p>
    <w:p>
      <w:pPr>
        <w:pStyle w:val="BodyText"/>
      </w:pPr>
      <w:r>
        <w:rPr>
          <w:bCs/>
          <w:b/>
        </w:rPr>
        <w:t xml:space="preserve">Figure S1. Orbital tissue transcript abundance (descriptive).</w:t>
      </w:r>
      <w:r>
        <w:t xml:space="preserve"> </w:t>
      </w:r>
      <w:r>
        <w:t xml:space="preserve">Transcripts per million for the backbone genes in four TED samples and one control, with technical replicates collapsed to the biological-sample level. With one control, biological variance cannot be estimated; no testing was performed and no conclusion depends on this panel. Axes are gene-specific.</w:t>
      </w:r>
    </w:p>
    <w:p>
      <w:pPr>
        <w:pStyle w:val="BodyText"/>
      </w:pPr>
      <w:r>
        <w:rPr>
          <w:bCs/>
          <w:b/>
        </w:rPr>
        <w:t xml:space="preserve">Figure S2. Candidate colocalization across the three outcomes.</w:t>
      </w:r>
      <w:r>
        <w:t xml:space="preserve"> </w:t>
      </w:r>
      <w:r>
        <w:t xml:space="preserve">Posteriors for the six non-known candidates, plotted as in Figure 3A.</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colocalize in discovery (PP.H4 = 0.994 and 0.989) but in neither secondary outcome;</w:t>
      </w:r>
      <w:r>
        <w:t xml:space="preserve"> </w:t>
      </w:r>
      <w:r>
        <w:rPr>
          <w:iCs/>
          <w:i/>
        </w:rPr>
        <w:t xml:space="preserve">TNFSF14</w:t>
      </w:r>
      <w:r>
        <w:t xml:space="preserve"> </w:t>
      </w:r>
      <w:r>
        <w:t xml:space="preserve">retains a direction-consistent nominal MR association in UKB (</w:t>
      </w:r>
      <w:r>
        <w:rPr>
          <w:iCs/>
          <w:i/>
        </w:rPr>
        <w:t xml:space="preserve">P</w:t>
      </w:r>
      <w:r>
        <w:t xml:space="preserve"> </w:t>
      </w:r>
      <w:r>
        <w:t xml:space="preserve">= 0.0056). The chromosome 16p11.2 candidates are weak or ambiguous throughout and</w:t>
      </w:r>
      <w:r>
        <w:t xml:space="preserve"> </w:t>
      </w:r>
      <w:r>
        <w:rPr>
          <w:iCs/>
          <w:i/>
        </w:rPr>
        <w:t xml:space="preserve">MAPKAPK5</w:t>
      </w:r>
      <w:r>
        <w:t xml:space="preserve"> </w:t>
      </w:r>
      <w:r>
        <w:t xml:space="preserve">is PP.H3-dominant in discovery.</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2026-09-04T10:19:23Z</dcterms:created>
  <dcterms:modified xsi:type="dcterms:W3CDTF">2026-09-04T10:19:23Z</dcterms:modified>
</cp:coreProperties>
</file>

<file path=docProps/custom.xml><?xml version="1.0" encoding="utf-8"?>
<Properties xmlns="http://schemas.openxmlformats.org/officeDocument/2006/custom-properties" xmlns:vt="http://schemas.openxmlformats.org/officeDocument/2006/docPropsVTypes"/>
</file>