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Title"/>
        <w:widowControl/>
        <w:spacing w:before="0"/>
      </w:pPr>
      <w:r>
        <w:t xml:space="preserve">Cover letter</w:t>
      </w:r>
    </w:p>
    <w:p>
      <w:pPr>
        <w:pStyle w:val="FirstParagraph"/>
        <w:widowControl/>
      </w:pPr>
      <w:r>
        <w:t xml:space="preserve">16 September 2026</w:t>
      </w:r>
    </w:p>
    <w:p>
      <w:pPr>
        <w:pStyle w:val="BodyText"/>
        <w:widowControl/>
      </w:pPr>
      <w:r>
        <w:t xml:space="preserve">The Editor-in-Chief</w:t>
      </w:r>
      <w:r>
        <w:br/>
      </w:r>
      <w:r>
        <w:rPr>
          <w:iCs/>
          <w:i/>
        </w:rPr>
        <w:t xml:space="preserve">Endocrine Connections</w:t>
      </w:r>
    </w:p>
    <w:p>
      <w:pPr>
        <w:pStyle w:val="BodyText"/>
        <w:widowControl/>
      </w:pPr>
      <w:r>
        <w:t xml:space="preserve">Dear Editor-in-Chief,</w:t>
      </w:r>
    </w:p>
    <w:p>
      <w:pPr>
        <w:pStyle w:val="BodyText"/>
        <w:widowControl/>
      </w:pPr>
      <w:r>
        <w:t xml:space="preserve">Please consider</w:t>
      </w:r>
      <w:r>
        <w:t xml:space="preserve"> </w:t>
      </w:r>
      <w:r>
        <w:t xml:space="preserve">“</w:t>
      </w:r>
      <w:r>
        <w:t xml:space="preserve">TSHR and IGF1R expression in Graves disease: Mendelian randomization and colocalization</w:t>
      </w:r>
      <w:r>
        <w:t xml:space="preserve">”</w:t>
      </w:r>
      <w:r>
        <w:t xml:space="preserve"> </w:t>
      </w:r>
      <w:r>
        <w:t xml:space="preserve">as an original research article.</w:t>
      </w:r>
    </w:p>
    <w:p>
      <w:pPr>
        <w:pStyle w:val="BodyText"/>
        <w:widowControl/>
      </w:pPr>
      <w:r>
        <w:t xml:space="preserve">Teprotumumab blocks IGF-1R and is effective in thyroid eye disease (TED). That success is sometimes read as evidence that</w:t>
      </w:r>
      <w:r>
        <w:t xml:space="preserve"> </w:t>
      </w:r>
      <w:r>
        <w:rPr>
          <w:iCs/>
          <w:i/>
        </w:rPr>
        <w:t xml:space="preserve">IGF1R</w:t>
      </w:r>
      <w:r>
        <w:t xml:space="preserve"> </w:t>
      </w:r>
      <w:r>
        <w:t xml:space="preserve">also carries inherited susceptibility to Graves disease (GD). Therapeutic efficacy and disease susceptibility are different claims, and we asked whether the genetic evidence supports the second. Within a screen of 2,544 druggable genes we compared genetically proxied blood expression of</w:t>
      </w:r>
      <w:r>
        <w:t xml:space="preserve"> </w:t>
      </w:r>
      <w:r>
        <w:rPr>
          <w:iCs/>
          <w:i/>
        </w:rPr>
        <w:t xml:space="preserve">TSHR</w:t>
      </w:r>
      <w:r>
        <w:t xml:space="preserve"> </w:t>
      </w:r>
      <w:r>
        <w:t xml:space="preserve">and</w:t>
      </w:r>
      <w:r>
        <w:t xml:space="preserve"> </w:t>
      </w:r>
      <w:r>
        <w:rPr>
          <w:iCs/>
          <w:i/>
        </w:rPr>
        <w:t xml:space="preserve">IGF1R</w:t>
      </w:r>
      <w:r>
        <w:t xml:space="preserve">, using Biobank Japan (BBJ) GD as the discovery outcome and UK Biobank (UKB) hyperthyroidism and FinnGen Graves ophthalmopathy as further comparisons.</w:t>
      </w:r>
    </w:p>
    <w:p>
      <w:pPr>
        <w:pStyle w:val="BodyText"/>
        <w:widowControl/>
      </w:pPr>
      <w:r>
        <w:t xml:space="preserve">Thirteen genes met the discovery threshold.</w:t>
      </w:r>
      <w:r>
        <w:t xml:space="preserve"> </w:t>
      </w:r>
      <w:r>
        <w:rPr>
          <w:iCs/>
          <w:i/>
        </w:rPr>
        <w:t xml:space="preserve">TSHR</w:t>
      </w:r>
      <w:r>
        <w:t xml:space="preserve"> </w:t>
      </w:r>
      <w:r>
        <w:t xml:space="preserve">was associated with disease in all three outcomes, and the expression and disease signals colocalized in BBJ and FinnGen. They did not in UKB, even though UKB carries the strongest</w:t>
      </w:r>
      <w:r>
        <w:t xml:space="preserve"> </w:t>
      </w:r>
      <w:r>
        <w:rPr>
          <w:iCs/>
          <w:i/>
        </w:rPr>
        <w:t xml:space="preserve">TSHR</w:t>
      </w:r>
      <w:r>
        <w:t xml:space="preserve"> </w:t>
      </w:r>
      <w:r>
        <w:t xml:space="preserve">association of the three — a discordance we report rather than set aside.</w:t>
      </w:r>
      <w:r>
        <w:t xml:space="preserve"> </w:t>
      </w:r>
      <w:r>
        <w:rPr>
          <w:iCs/>
          <w:i/>
        </w:rPr>
        <w:t xml:space="preserve">IGF1R</w:t>
      </w:r>
      <w:r>
        <w:t xml:space="preserve"> </w:t>
      </w:r>
      <w:r>
        <w:t xml:space="preserve">was nominally associated in BBJ and UKB but not FinnGen, and its colocalization posterior stayed below the threshold in every outcome; in UKB it was split almost evenly between a shared variant and an expression signal that does not resolve to one. No additional candidate met the combined BBJ and FinnGen criterion.</w:t>
      </w:r>
    </w:p>
    <w:p>
      <w:pPr>
        <w:pStyle w:val="BodyText"/>
        <w:widowControl/>
      </w:pPr>
      <w:r>
        <w:t xml:space="preserve">Three sensitivity analyses bound these results. Substituting eQTLGen cohort allele frequencies for reference frequencies retained all thirteen discovery hits and changed no colocalization classification. Leave-one-out analysis showed that the nominal</w:t>
      </w:r>
      <w:r>
        <w:t xml:space="preserve"> </w:t>
      </w:r>
      <w:r>
        <w:rPr>
          <w:iCs/>
          <w:i/>
        </w:rPr>
        <w:t xml:space="preserve">IGF1R</w:t>
      </w:r>
      <w:r>
        <w:t xml:space="preserve"> </w:t>
      </w:r>
      <w:r>
        <w:t xml:space="preserve">associations depend on individual instruments and that the European</w:t>
      </w:r>
      <w:r>
        <w:t xml:space="preserve"> </w:t>
      </w:r>
      <w:r>
        <w:rPr>
          <w:iCs/>
          <w:i/>
        </w:rPr>
        <w:t xml:space="preserve">CTLA4</w:t>
      </w:r>
      <w:r>
        <w:t xml:space="preserve"> </w:t>
      </w:r>
      <w:r>
        <w:t xml:space="preserve">support is concentrated in one variant. Under the most conservative shared-variant prior, colocalization support for</w:t>
      </w:r>
      <w:r>
        <w:t xml:space="preserve"> </w:t>
      </w:r>
      <w:r>
        <w:rPr>
          <w:iCs/>
          <w:i/>
        </w:rPr>
        <w:t xml:space="preserve">TSHR</w:t>
      </w:r>
      <w:r>
        <w:t xml:space="preserve"> </w:t>
      </w:r>
      <w:r>
        <w:t xml:space="preserve">falls below threshold in BBJ while holding in FinnGen; we state this in the Abstract and the Discussion rather than reporting the primary prior alone.</w:t>
      </w:r>
    </w:p>
    <w:p>
      <w:pPr>
        <w:pStyle w:val="BodyText"/>
        <w:widowControl/>
      </w:pPr>
      <w:r>
        <w:t xml:space="preserve">We are equally explicit about what the study does not show. FinnGen compares Graves ophthalmopathy cases with population controls, so it cannot isolate eye-disease susceptibility among people who already have GD. Blood expression may not represent thymic or orbital regulation, instrument counts are small, and the colocalization model assumes a single causal variant. Orbital observations from four TED samples and one control are descriptive context, reported without significance testing. Nothing here establishes treatment direction, and weaker genetic support for</w:t>
      </w:r>
      <w:r>
        <w:t xml:space="preserve"> </w:t>
      </w:r>
      <w:r>
        <w:rPr>
          <w:iCs/>
          <w:i/>
        </w:rPr>
        <w:t xml:space="preserve">IGF1R</w:t>
      </w:r>
      <w:r>
        <w:t xml:space="preserve"> </w:t>
      </w:r>
      <w:r>
        <w:t xml:space="preserve">is not an argument against IGF-1R blockade.</w:t>
      </w:r>
    </w:p>
    <w:p>
      <w:pPr>
        <w:pStyle w:val="BodyText"/>
        <w:widowControl/>
      </w:pPr>
      <w:r>
        <w:t xml:space="preserve">The submission includes three supplementary tables, six supplementary data files, five figures and a completed STROBE-MR checklist. Instruments and the complete primary and sensitivity results accompany the manuscript.</w:t>
      </w:r>
    </w:p>
    <w:p>
      <w:pPr>
        <w:pStyle w:val="BodyText"/>
        <w:widowControl/>
      </w:pPr>
      <w:r>
        <w:t xml:space="preserve">An earlier, narrower version was considered at thyroid-focused journals; the work was subsequently restructured around the broader genetic screen. The orbital dataset also supports a different, whole-transcriptome question in a separate manuscript under review elsewhere. Here only three genes are described, and no genome-wide expression or pathway catalogue is presented. The companion manuscript can be provided for assessment of overlap.</w:t>
      </w:r>
    </w:p>
    <w:p>
      <w:pPr>
        <w:pStyle w:val="BodyText"/>
        <w:widowControl/>
      </w:pPr>
      <w:r>
        <w:t xml:space="preserve">This manuscript has not been published and is not under consideration elsewhere. The authors report no specific funding and no competing interests. The orbital component received Pusan National University Hospital IRB approval 2104-018-102, with written informed consent. Author contributions and data access are disclosed in the manuscript.</w:t>
      </w:r>
    </w:p>
    <w:p>
      <w:pPr>
        <w:pStyle w:val="BodyText"/>
        <w:keepNext/>
        <w:widowControl/>
      </w:pPr>
      <w:r>
        <w:t xml:space="preserve">Sincerely,</w:t>
      </w:r>
    </w:p>
    <w:p>
      <w:pPr>
        <w:pStyle w:val="BodyText"/>
        <w:keepNext/>
        <w:widowControl/>
      </w:pPr>
      <w:r>
        <w:t xml:space="preserve">Suk-Woo Yang, MD, PhD</w:t>
      </w:r>
      <w:r>
        <w:br/>
      </w:r>
      <w:r>
        <w:t xml:space="preserve">Corresponding author, with Kyung-Hwa Shin, MD, as co-corresponding author, on behalf of Jungyul Park, Min-Seon Kim, Kyung-Hwa Shin and Suk-Woo Yang</w:t>
      </w:r>
      <w:r>
        <w:br/>
      </w:r>
      <w:r>
        <w:t xml:space="preserve">Department of Ophthalmology, Seoul St. Mary’s Hospital</w:t>
      </w:r>
      <w:r>
        <w:br/>
      </w:r>
      <w:r>
        <w:t xml:space="preserve">College of Medicine, The Catholic University of Korea, Seoul, Republic of Korea</w:t>
      </w:r>
      <w:r>
        <w:br/>
      </w:r>
      <w:r>
        <w:t xml:space="preserve">E-mail: yswoph@catholic.ac.kr</w:t>
      </w:r>
    </w:p>
    <w:p>
      <w:pPr>
        <w:pStyle w:val="BodyText"/>
        <w:widowControl/>
      </w:pPr>
      <w:r>
        <w:t xml:space="preserve">Author institutions: Jungyul Park and Suk-Woo Yang — Department of Ophthalmology, Seoul St. Mary’s Hospital, College of Medicine, The Catholic University of Korea, Seoul; Min-Seon Kim — Department of Ophthalmology, College of Medicine, The Catholic University of Korea, Seoul; Kyung-Hwa Shin — Department of Laboratory Medicine, Pusan National University Hospital, Busan. All institutions are in the Republic of Korea.</w:t>
      </w:r>
    </w:p>
    <w:bookmarkEnd w:id="20"/>
    <w:sectPr>
      <w:footerReference w:type="default" r:id="rId9"/>
      <w:footerReference w:type="first" r:id="rId10"/>
      <w:footerReference w:type="even" r:id="rId11"/>
      <w:pgSz w:w="11909" w:h="16834"/>
      <w:pgMar w:left="1368" w:right="1368" w:top="1152" w:bottom="1152"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00"/>
    </w:pPr>
    <w:rPr>
      <w:rFonts w:ascii="Times New Roman" w:hAnsi="Times New Roman"/>
      <w:sz w:val="22"/>
    </w:rPr>
  </w:style>
  <w:style w:styleId="BodyText" w:type="paragraph">
    <w:name w:val="Body Text"/>
    <w:basedOn w:val="Normal"/>
    <w:link w:val="BodyTextChar"/>
    <w:pPr>
      <w:spacing w:after="100" w:before="180" w:line="240" w:lineRule="auto"/>
    </w:pPr>
    <w:qFormat/>
    <w:rPr>
      <w:rFonts w:ascii="Times New Roman" w:hAnsi="Times New Roman"/>
      <w:sz w:val="22"/>
    </w:rPr>
  </w:style>
  <w:style w:customStyle="1" w:styleId="FirstParagraph" w:type="paragraph">
    <w:name w:val="First Paragraph"/>
    <w:basedOn w:val="BodyText"/>
    <w:next w:val="BodyText"/>
    <w:qFormat/>
    <w:pPr>
      <w:spacing w:line="240" w:lineRule="auto" w:after="100"/>
    </w:pPr>
    <w:rPr>
      <w:rFonts w:ascii="Times New Roman" w:hAnsi="Times New Roman"/>
      <w:sz w:val="22"/>
    </w:rPr>
  </w:style>
  <w:style w:customStyle="1" w:styleId="Compact" w:type="paragraph">
    <w:name w:val="Compact"/>
    <w:basedOn w:val="BodyText"/>
    <w:qFormat/>
    <w:pPr>
      <w:spacing w:after="100" w:before="36" w:line="240" w:lineRule="auto"/>
    </w:pPr>
    <w:rPr>
      <w:rFonts w:ascii="Times New Roman" w:hAnsi="Times New Roman"/>
      <w:sz w:val="22"/>
    </w:rPr>
  </w:style>
  <w:style w:styleId="Title" w:type="paragraph">
    <w:name w:val="Title"/>
    <w:basedOn w:val="Normal"/>
    <w:next w:val="BodyText"/>
    <w:qFormat/>
    <w:pPr>
      <w:keepNext/>
      <w:keepLines/>
      <w:spacing w:after="120" w:before="240" w:line="276" w:lineRule="auto"/>
      <w:jc w:val="center"/>
    </w:pPr>
    <w:rPr>
      <w:rFonts w:asciiTheme="majorHAnsi" w:cstheme="majorBidi" w:eastAsiaTheme="majorEastAsia" w:hAnsiTheme="majorHAnsi" w:ascii="Times New Roman" w:hAnsi="Times New Roman"/>
      <w:b/>
      <w:bCs/>
      <w:color w:val="000000"/>
      <w:sz w:val="3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line="240" w:lineRule="auto" w:after="100"/>
    </w:pPr>
    <w:rPr>
      <w:rFonts w:ascii="Times New Roman" w:hAnsi="Times New Roman"/>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EndocrineConnections</dc:title>
  <dc:creator>Jungyul Park; Min-Seon Kim; Kyung-Hwa Shin; Suk-Woo Yang</dc:creator>
  <cp:keywords/>
  <dcterms:created xsi:type="dcterms:W3CDTF">2026-09-16T04:11:54Z</dcterms:created>
  <dcterms:modified xsi:type="dcterms:W3CDTF">2026-09-16T04:11:54Z</dcterms:modified>
  <dc:identifier>COVER_LETTER_EndocrineConnections</dc:identifier>
  <cp:lastModifiedBy/>
</cp:coreProperties>
</file>

<file path=docProps/custom.xml><?xml version="1.0" encoding="utf-8"?>
<Properties xmlns="http://schemas.openxmlformats.org/officeDocument/2006/custom-properties" xmlns:vt="http://schemas.openxmlformats.org/officeDocument/2006/docPropsVTypes"/>
</file>