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Cs/>
          <w:b/>
          <w:sz w:val="20"/>
        </w:rPr>
        <w:t xml:space="preserve">Table 2. Primary associations for the three selected genes</w:t>
      </w:r>
    </w:p>
    <w:tbl>
      <w:tblPr>
        <w:tblW w:type="dxa" w:w="9173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1584"/>
        <w:gridCol w:w="1296"/>
        <w:gridCol w:w="1584"/>
        <w:gridCol w:w="1080"/>
        <w:gridCol w:w="1080"/>
        <w:gridCol w:w="965"/>
        <w:gridCol w:w="893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Gene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Outcome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Instruments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OR (95% CI)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iCs/>
                <w:rFonts w:ascii="Times New Roman" w:hAnsi="Times New Roman"/>
                <w:b/>
                <w:i/>
                <w:sz w:val="19"/>
              </w:rPr>
              <w:t xml:space="preserve">P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 xml:space="preserve">value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Expression only (PP.H2)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Distinct variants (PP.H3)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Shared variant (PP.H4)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0.12 (0.07–0.21)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1.09×10⁻¹⁴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0.049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0.951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0.09 (0.06–0.14)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8.77×10⁻²⁸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0.774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0.226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0.10 (0.04–0.24)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2.82×10⁻⁷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0.014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0.986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1.56 (1.07–2.28)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0.0212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0.690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0.236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1.35 (1.07–1.70)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0.0117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0.400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0.196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0.404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1.41 (0.85–2.33)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0.182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0.623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0.346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0.18 (0.11–0.27)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5.45×10⁻¹⁵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0.799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0.201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0.21 (0.08–0.57)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0.0022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0.047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0.953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0.17 (0.04–0.68)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0.0118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0.022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0.978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ORs are per approximately one SD higher reconstructed, genetically proxied blood expression. Wald ratio was used for one instrument and IVW for multiple instruments.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values are two-sided and shown to three significant digits; BBJ discovery significance requires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&lt; 1.965×10⁻⁵, while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&lt; 0.05 in other outcomes is nominal. H2, H3 and H4 denote expression only, distinct variants and a shared variant under the single-causal-variant model; these posterior probabilities are not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values. H0/H1 account for any remaining probability. H4 ≥ 0.80 denotes strong shared-variant support. H2 dominance does not prove absence of marginal disease association. For rs179252, the G-allele exposure coefficient was 0.10546; aligned disease log-ORs were −0.22103 (BBJ), −0.25691 (UKB, after scale conversion) and −0.24587 (FinnGen), corresponding to variant-level ORs of 0.802, 0.773 and 0.782. These variant effects and the scaled MR ORs answer different questions. European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CTLA4</w:t>
      </w:r>
      <w:r>
        <w:rPr>
          <w:sz w:val="20"/>
        </w:rPr>
        <w:t xml:space="preserve"> </w:t>
      </w:r>
      <w:r>
        <w:rPr>
          <w:sz w:val="20"/>
        </w:rPr>
        <w:t xml:space="preserve">MR support was concentrated in rs13030124; the other instrument alone gave imprecise estimates spanning OR = 1 (Figure S2; Supplementary Data 6). Full probabilities are in Supplementary Data 3; sensitivity results are in Tables S1–S3 and Figure S2.</w:t>
      </w:r>
    </w:p>
    <w:sectPr>
      <w:pgSz w:w="11909" w:h="16834"/>
      <w:pgMar w:left="1368" w:right="1368" w:top="1152" w:bottom="1152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8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80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</dc:title>
  <dc:creator>Jungyul Park; Min-Seon Kim; Kyung-Hwa Shin; Suk-Woo Yang</dc:creator>
  <cp:keywords/>
  <dcterms:created xsi:type="dcterms:W3CDTF">2026-09-16T04:11:54Z</dcterms:created>
  <dcterms:modified xsi:type="dcterms:W3CDTF">2026-09-16T04:11:54Z</dcterms:modified>
  <dc:identifier>Table2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