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keepNext/>
        <w:pageBreakBefore w:val="0"/>
        <w:widowControl/>
        <w:spacing w:line="264" w:lineRule="auto" w:after="140"/>
      </w:pPr>
      <w:r>
        <w:rPr>
          <w:bCs/>
          <w:b/>
          <w:sz w:val="20"/>
        </w:rPr>
        <w:t xml:space="preserve">Table 3. All thirteen discovery associations</w:t>
      </w:r>
    </w:p>
    <w:tbl>
      <w:tblPr>
        <w:tblW w:type="dxa" w:w="9173"/>
        <w:jc w:val="center"/>
        <w:tblLayout w:type="fixed"/>
        <w:tblLook w:firstColumn="1" w:firstRow="1" w:lastColumn="0" w:lastRow="0" w:noHBand="0" w:noVBand="1" w:val="04A0"/>
      </w:tblPr>
      <w:tblGrid>
        <w:gridCol w:w="1195"/>
        <w:gridCol w:w="1368"/>
        <w:gridCol w:w="1901"/>
        <w:gridCol w:w="1267"/>
        <w:gridCol w:w="3442"/>
      </w:tblGrid>
      <w:tr>
        <w:trPr>
          <w:cantSplit/>
          <w:tblHeader/>
        </w:trPr>
        <w:tc>
          <w:tcPr>
            <w:tcW w:type="dxa" w:w="1195"/>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136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Instruments</w:t>
            </w:r>
          </w:p>
        </w:tc>
        <w:tc>
          <w:tcPr>
            <w:tcW w:type="dxa" w:w="190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BBJ OR (95% CI)</w:t>
            </w:r>
          </w:p>
        </w:tc>
        <w:tc>
          <w:tcPr>
            <w:tcW w:type="dxa" w:w="1267"/>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20"/>
              </w:rPr>
              <w:t xml:space="preserve">P</w:t>
            </w:r>
            <w:r>
              <w:rPr>
                <w:rFonts w:ascii="Times New Roman" w:hAnsi="Times New Roman"/>
                <w:b/>
                <w:sz w:val="20"/>
              </w:rPr>
              <w:t xml:space="preserve"> </w:t>
            </w:r>
            <w:r>
              <w:rPr>
                <w:rFonts w:ascii="Times New Roman" w:hAnsi="Times New Roman"/>
                <w:b/>
                <w:sz w:val="20"/>
              </w:rPr>
              <w:t xml:space="preserve">value</w:t>
            </w:r>
          </w:p>
        </w:tc>
        <w:tc>
          <w:tcPr>
            <w:tcW w:type="dxa" w:w="344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Interpretation of the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1.98 (1.73–2.27)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2.6×10⁻²³</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HLA-DQA2</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2.39 (1.95–2.93)</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8.3×10⁻¹⁷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autoimmune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GD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C4A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0.45 (0.35–0.57)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2.23×10⁻¹⁰</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HSD3B7</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0.29 (0.18–0.47)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TUBB</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2</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1.49 (1.28–1.74)</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3.14×10⁻⁷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VKORC1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0.13 (0.06–0.29)</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6.35×10⁻⁷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TNFSF14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0.63 (0.52–0.76)</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1.48×10⁻⁶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PRSS36</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6.00 (2.87–12.57)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2.02×10⁻⁶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MAPKAPK5</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0.977 (0.967–0.987)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5.28×10⁻⁶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PSMB8</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 (1.13–1.38)</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6.86×10⁻⁶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IFNGR1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2.10 (1.51–2.91)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9.41×10⁻⁶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bl>
    <w:p>
      <w:pPr>
        <w:pStyle w:val="BodyText"/>
        <w:pageBreakBefore w:val="0"/>
        <w:widowControl/>
        <w:spacing w:line="264" w:lineRule="auto" w:after="140"/>
      </w:pPr>
      <w:r>
        <w:rPr>
          <w:sz w:val="20"/>
        </w:rPr>
        <w:t xml:space="preserve">All genes met the same multiple-testing threshold and are listed by discovery</w:t>
      </w:r>
      <w:r>
        <w:rPr>
          <w:sz w:val="20"/>
        </w:rPr>
        <w:t xml:space="preserve"> </w:t>
      </w:r>
      <w:r>
        <w:rPr>
          <w:iCs/>
          <w:i/>
          <w:sz w:val="20"/>
        </w:rPr>
        <w:t xml:space="preserve">P</w:t>
      </w:r>
      <w:r>
        <w:rPr>
          <w:sz w:val="20"/>
        </w:rPr>
        <w:t xml:space="preserve"> </w:t>
      </w:r>
      <w:r>
        <w:rPr>
          <w:sz w:val="20"/>
        </w:rPr>
        <w:t xml:space="preserve">value. The</w:t>
      </w:r>
      <w:r>
        <w:rPr>
          <w:sz w:val="20"/>
        </w:rPr>
        <w:t xml:space="preserve"> </w:t>
      </w:r>
      <w:r>
        <w:rPr>
          <w:iCs/>
          <w:i/>
          <w:sz w:val="20"/>
        </w:rPr>
        <w:t xml:space="preserve">MAPKAPK5</w:t>
      </w:r>
      <w:r>
        <w:rPr>
          <w:sz w:val="20"/>
        </w:rPr>
        <w:t xml:space="preserve"> </w:t>
      </w:r>
      <w:r>
        <w:rPr>
          <w:sz w:val="20"/>
        </w:rPr>
        <w:t xml:space="preserve">estimate is shown to three decimals to preserve its small effect size. The five MHC genes were not treated as new independent targets. The six additional candidates were TNFSF14, IFNGR1, MAPKAPK5, HSD3B7, VKORC1 and PRSS36; none showed strong shared-variant support in both BBJ and FinnGen. Full outcome comparisons and model probabilities remain in Supplementary Data 2–3.</w:t>
      </w:r>
    </w:p>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3</dc:title>
  <dc:creator>Jungyul Park; Min-Seon Kim; Kyung-Hwa Shin; Suk-Woo Yang</dc:creator>
  <cp:keywords/>
  <dcterms:created xsi:type="dcterms:W3CDTF">2026-09-16T04:11:54Z</dcterms:created>
  <dcterms:modified xsi:type="dcterms:W3CDTF">2026-09-16T04:11:54Z</dcterms:modified>
  <dc:identifier>Table3</dc:identifier>
  <cp:lastModifiedBy/>
</cp:coreProperties>
</file>

<file path=docProps/custom.xml><?xml version="1.0" encoding="utf-8"?>
<Properties xmlns="http://schemas.openxmlformats.org/officeDocument/2006/custom-properties" xmlns:vt="http://schemas.openxmlformats.org/officeDocument/2006/docPropsVTypes"/>
</file>