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odyText"/>
        <w:keepNext/>
        <w:pageBreakBefore w:val="0"/>
        <w:widowControl/>
        <w:spacing w:line="264" w:lineRule="auto" w:after="140"/>
      </w:pPr>
      <w:r>
        <w:rPr>
          <w:bCs/>
          <w:b/>
          <w:sz w:val="20"/>
        </w:rPr>
        <w:t xml:space="preserve">Table S3. Association detection limits before and after frequency substitution</w:t>
      </w:r>
    </w:p>
    <w:tbl>
      <w:tblPr>
        <w:tblW w:type="dxa" w:w="14818"/>
        <w:jc w:val="center"/>
        <w:tblLayout w:type="fixed"/>
        <w:tblLook w:firstColumn="1" w:firstRow="1" w:lastColumn="0" w:lastRow="0" w:noHBand="0" w:noVBand="1" w:val="04A0"/>
      </w:tblPr>
      <w:tblGrid>
        <w:gridCol w:w="3908"/>
        <w:gridCol w:w="2361"/>
        <w:gridCol w:w="1303"/>
        <w:gridCol w:w="3664"/>
        <w:gridCol w:w="1791"/>
        <w:gridCol w:w="1791"/>
      </w:tblGrid>
      <w:tr>
        <w:trPr>
          <w:cantSplit/>
          <w:tblHeader/>
        </w:trPr>
        <w:tc>
          <w:tcPr>
            <w:tcW w:type="dxa" w:w="39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Outcome</w:t>
            </w:r>
          </w:p>
        </w:tc>
        <w:tc>
          <w:tcPr>
            <w:tcW w:type="dxa" w:w="236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Analysis</w:t>
            </w:r>
          </w:p>
        </w:tc>
        <w:tc>
          <w:tcPr>
            <w:tcW w:type="dxa" w:w="130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Estimable genes</w:t>
            </w:r>
          </w:p>
        </w:tc>
        <w:tc>
          <w:tcPr>
            <w:tcW w:type="dxa" w:w="366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Detectable OR median (IQR)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Detect OR 1.5 (%)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Detect OR 2.0 (%)</w:t>
            </w:r>
          </w:p>
        </w:tc>
      </w:tr>
      <w:tr>
        <w:trPr>
          <w:cantSplit/>
        </w:trPr>
        <w:tc>
          <w:tcPr>
            <w:tcW w:type="dxa" w:w="39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BBJ Graves disease</w:t>
            </w:r>
          </w:p>
        </w:tc>
        <w:tc>
          <w:tcPr>
            <w:tcW w:type="dxa" w:w="236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Reference</w:t>
            </w:r>
          </w:p>
        </w:tc>
        <w:tc>
          <w:tcPr>
            <w:tcW w:type="dxa" w:w="130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2,234</w:t>
            </w:r>
          </w:p>
        </w:tc>
        <w:tc>
          <w:tcPr>
            <w:tcW w:type="dxa" w:w="366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2.55 (1.71–5.18)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14.6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35.6</w:t>
            </w:r>
          </w:p>
        </w:tc>
      </w:tr>
      <w:tr>
        <w:trPr>
          <w:cantSplit/>
        </w:trPr>
        <w:tc>
          <w:tcPr>
            <w:tcW w:type="dxa" w:w="39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BBJ Graves disease</w:t>
            </w:r>
          </w:p>
        </w:tc>
        <w:tc>
          <w:tcPr>
            <w:tcW w:type="dxa" w:w="236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Cohort frequencies</w:t>
            </w:r>
          </w:p>
        </w:tc>
        <w:tc>
          <w:tcPr>
            <w:tcW w:type="dxa" w:w="130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2,232</w:t>
            </w:r>
          </w:p>
        </w:tc>
        <w:tc>
          <w:tcPr>
            <w:tcW w:type="dxa" w:w="366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2.61 (1.76–5.14)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12.5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34.2</w:t>
            </w:r>
          </w:p>
        </w:tc>
      </w:tr>
      <w:tr>
        <w:trPr>
          <w:cantSplit/>
        </w:trPr>
        <w:tc>
          <w:tcPr>
            <w:tcW w:type="dxa" w:w="39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UKB hyperthyroidism</w:t>
            </w:r>
          </w:p>
        </w:tc>
        <w:tc>
          <w:tcPr>
            <w:tcW w:type="dxa" w:w="236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Reference</w:t>
            </w:r>
          </w:p>
        </w:tc>
        <w:tc>
          <w:tcPr>
            <w:tcW w:type="dxa" w:w="130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2,505</w:t>
            </w:r>
          </w:p>
        </w:tc>
        <w:tc>
          <w:tcPr>
            <w:tcW w:type="dxa" w:w="366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1.46 (1.26–1.91)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53.7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77.4</w:t>
            </w:r>
          </w:p>
        </w:tc>
      </w:tr>
      <w:tr>
        <w:trPr>
          <w:cantSplit/>
        </w:trPr>
        <w:tc>
          <w:tcPr>
            <w:tcW w:type="dxa" w:w="39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UKB hyperthyroidism</w:t>
            </w:r>
          </w:p>
        </w:tc>
        <w:tc>
          <w:tcPr>
            <w:tcW w:type="dxa" w:w="236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Cohort frequencies</w:t>
            </w:r>
          </w:p>
        </w:tc>
        <w:tc>
          <w:tcPr>
            <w:tcW w:type="dxa" w:w="130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2,506</w:t>
            </w:r>
          </w:p>
        </w:tc>
        <w:tc>
          <w:tcPr>
            <w:tcW w:type="dxa" w:w="366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1.46 (1.26–1.94)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53.1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76.4</w:t>
            </w:r>
          </w:p>
        </w:tc>
      </w:tr>
      <w:tr>
        <w:trPr>
          <w:cantSplit/>
        </w:trPr>
        <w:tc>
          <w:tcPr>
            <w:tcW w:type="dxa" w:w="39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FinnGen Graves ophthalmopathy</w:t>
            </w:r>
          </w:p>
        </w:tc>
        <w:tc>
          <w:tcPr>
            <w:tcW w:type="dxa" w:w="236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Reference</w:t>
            </w:r>
          </w:p>
        </w:tc>
        <w:tc>
          <w:tcPr>
            <w:tcW w:type="dxa" w:w="130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2,480</w:t>
            </w:r>
          </w:p>
        </w:tc>
        <w:tc>
          <w:tcPr>
            <w:tcW w:type="dxa" w:w="366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2.12 (1.58–3.81)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19.4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45.5</w:t>
            </w:r>
          </w:p>
        </w:tc>
      </w:tr>
      <w:tr>
        <w:trPr>
          <w:cantSplit/>
        </w:trPr>
        <w:tc>
          <w:tcPr>
            <w:tcW w:type="dxa" w:w="39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FinnGen Graves ophthalmopathy</w:t>
            </w:r>
          </w:p>
        </w:tc>
        <w:tc>
          <w:tcPr>
            <w:tcW w:type="dxa" w:w="236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Cohort frequencies</w:t>
            </w:r>
          </w:p>
        </w:tc>
        <w:tc>
          <w:tcPr>
            <w:tcW w:type="dxa" w:w="130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2,481</w:t>
            </w:r>
          </w:p>
        </w:tc>
        <w:tc>
          <w:tcPr>
            <w:tcW w:type="dxa" w:w="366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2.17 (1.60–3.87)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17.6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44.5</w:t>
            </w:r>
          </w:p>
        </w:tc>
      </w:tr>
    </w:tbl>
    <w:p>
      <w:pPr>
        <w:pStyle w:val="BodyText"/>
        <w:pageBreakBefore w:val="0"/>
        <w:widowControl/>
        <w:spacing w:line="264" w:lineRule="auto" w:after="140"/>
      </w:pPr>
      <w:r>
        <w:rPr>
          <w:sz w:val="20"/>
        </w:rPr>
        <w:t xml:space="preserve">Percentages are the proportions of estimable genes with at least 80% power to detect the specified OR under the normal approximation. Alpha is 0.05/2,544 in BBJ and 0.05 in UKB/FinnGen. OR is per reconstructed expression unit. These calculations assess MR association detection, not colocalization or the combined filter. Full precision and identical-variant comparisons are retained in Supplementary Data 4.</w:t>
      </w:r>
    </w:p>
    <w:sectPr>
      <w:pgSz w:w="16834" w:h="11909" w:orient="landscape"/>
      <w:pgMar w:left="1008" w:right="1008" w:top="936" w:bottom="936" w:header="432" w:footer="43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suppressLineNumbers/>
    </w:pPr>
    <w:r>
      <w:fldChar w:fldCharType="begin"/>
    </w:r>
    <w:r>
      <w:instrText> PAGE </w:instrTex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suppressLineNumbers/>
    </w:pPr>
    <w:r>
      <w:fldChar w:fldCharType="begin"/>
    </w:r>
    <w:r>
      <w:instrText> PAGE </w:instrText>
    </w:r>
    <w: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suppressLineNumbers/>
    </w:pPr>
    <w:r>
      <w:fldChar w:fldCharType="begin"/>
    </w:r>
    <w:r>
      <w:instrText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456" w:lineRule="auto" w:after="0"/>
    </w:pPr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pPr>
      <w:spacing w:after="0" w:before="180" w:line="456" w:lineRule="auto"/>
    </w:pPr>
    <w:qFormat/>
    <w:rPr>
      <w:rFonts w:ascii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456" w:lineRule="auto" w:after="0"/>
    </w:pPr>
    <w:rPr>
      <w:rFonts w:ascii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0" w:before="36" w:line="456" w:lineRule="auto"/>
    </w:pPr>
    <w:rPr>
      <w:rFonts w:ascii="Times New Roman" w:hAnsi="Times New Roman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240" w:line="276" w:lineRule="auto"/>
      <w:jc w:val="center"/>
    </w:pPr>
    <w:rPr>
      <w:rFonts w:asciiTheme="majorHAnsi" w:cstheme="majorBidi" w:eastAsiaTheme="majorEastAsia" w:hAnsiTheme="majorHAnsi" w:ascii="Times New Roman" w:hAnsi="Times New Roman"/>
      <w:b/>
      <w:bCs/>
      <w:color w:val="000000"/>
      <w:sz w:val="3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pPr>
      <w:spacing w:line="456" w:lineRule="auto" w:after="0"/>
    </w:pPr>
    <w:rPr>
      <w:rFonts w:ascii="Times New Roman" w:hAnsi="Times New Roman"/>
      <w:sz w:val="24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S3</dc:title>
  <dc:creator>Jungyul Park; Min-Seon Kim; Kyung-Hwa Shin; Suk-Woo Yang</dc:creator>
  <cp:keywords/>
  <dcterms:created xsi:type="dcterms:W3CDTF">2026-09-16T04:11:54Z</dcterms:created>
  <dcterms:modified xsi:type="dcterms:W3CDTF">2026-09-16T04:11:54Z</dcterms:modified>
  <dc:identifier>TableS3</dc:identifier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