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TSHR and IGF1R tissue results</w:t>
      </w:r>
    </w:p>
    <w:p>
      <w:r>
        <w:t>Fixed panel of five GTEx v8 tissues and five disease datasets</w:t>
      </w:r>
    </w:p>
    <w:p>
      <w:pPr>
        <w:pStyle w:val="Heading1"/>
      </w:pPr>
      <w:r>
        <w:t>A  Instrument availability</w:t>
      </w:r>
    </w:p>
    <w:p>
      <w:pPr>
        <w:spacing w:after="80"/>
      </w:pPr>
      <w:r>
        <w:rPr>
          <w:sz w:val="18"/>
        </w:rPr>
        <w:t>Four of ten gene–tissue combinations yielded one qualifying instrument each. The remaining six combinations were unestimable; they were retained in the planned testing denominators.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52"/>
        <w:gridCol w:w="2952"/>
        <w:gridCol w:w="864"/>
        <w:gridCol w:w="720"/>
        <w:gridCol w:w="864"/>
        <w:gridCol w:w="1872"/>
        <w:gridCol w:w="4752"/>
      </w:tblGrid>
      <w:tr>
        <w:trPr>
          <w:tblHeader/>
          <w:cantSplit/>
        </w:trPr>
        <w:tc>
          <w:tcPr>
            <w:tcW w:type="dxa" w:w="1152"/>
            <w:shd w:fill="E8EEF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Gene</w:t>
            </w:r>
          </w:p>
        </w:tc>
        <w:tc>
          <w:tcPr>
            <w:tcW w:type="dxa" w:w="2952"/>
            <w:shd w:fill="E8EEF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Tissue</w:t>
            </w:r>
          </w:p>
        </w:tc>
        <w:tc>
          <w:tcPr>
            <w:tcW w:type="dxa" w:w="864"/>
            <w:shd w:fill="E8EEF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N</w:t>
            </w:r>
          </w:p>
        </w:tc>
        <w:tc>
          <w:tcPr>
            <w:tcW w:type="dxa" w:w="720"/>
            <w:shd w:fill="E8EEF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IVs</w:t>
            </w:r>
          </w:p>
        </w:tc>
        <w:tc>
          <w:tcPr>
            <w:tcW w:type="dxa" w:w="864"/>
            <w:shd w:fill="E8EEF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F</w:t>
            </w:r>
          </w:p>
        </w:tc>
        <w:tc>
          <w:tcPr>
            <w:tcW w:type="dxa" w:w="1872"/>
            <w:shd w:fill="E8EEF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Minimum eQTL P</w:t>
            </w:r>
          </w:p>
        </w:tc>
        <w:tc>
          <w:tcPr>
            <w:tcW w:type="dxa" w:w="4752"/>
            <w:shd w:fill="E8EEF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Availability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i/>
                <w:color w:val="000000"/>
                <w:sz w:val="19"/>
              </w:rPr>
              <w:t>TSHR</w:t>
            </w:r>
          </w:p>
        </w:tc>
        <w:tc>
          <w:tcPr>
            <w:tcW w:type="dxa" w:w="29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Thyroid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574</w:t>
            </w:r>
          </w:p>
        </w:tc>
        <w:tc>
          <w:tcPr>
            <w:tcW w:type="dxa" w:w="720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9.60×10⁻⁸</w:t>
            </w:r>
          </w:p>
        </w:tc>
        <w:tc>
          <w:tcPr>
            <w:tcW w:type="dxa" w:w="47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 eQTL at P &lt; 5×10⁻⁸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i/>
                <w:color w:val="000000"/>
                <w:sz w:val="19"/>
              </w:rPr>
              <w:t>IGF1R</w:t>
            </w:r>
          </w:p>
        </w:tc>
        <w:tc>
          <w:tcPr>
            <w:tcW w:type="dxa" w:w="29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Thyroid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574</w:t>
            </w:r>
          </w:p>
        </w:tc>
        <w:tc>
          <w:tcPr>
            <w:tcW w:type="dxa" w:w="720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61.1</w:t>
            </w:r>
          </w:p>
        </w:tc>
        <w:tc>
          <w:tcPr>
            <w:tcW w:type="dxa" w:w="187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3.14×10⁻¹⁴</w:t>
            </w:r>
          </w:p>
        </w:tc>
        <w:tc>
          <w:tcPr>
            <w:tcW w:type="dxa" w:w="47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One SNP retained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i/>
                <w:color w:val="000000"/>
                <w:sz w:val="19"/>
              </w:rPr>
              <w:t>TSHR</w:t>
            </w:r>
          </w:p>
        </w:tc>
        <w:tc>
          <w:tcPr>
            <w:tcW w:type="dxa" w:w="29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Cultured fibroblasts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483</w:t>
            </w:r>
          </w:p>
        </w:tc>
        <w:tc>
          <w:tcPr>
            <w:tcW w:type="dxa" w:w="720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—</w:t>
            </w:r>
          </w:p>
        </w:tc>
        <w:tc>
          <w:tcPr>
            <w:tcW w:type="dxa" w:w="47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Gene absent from tested-gene file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i/>
                <w:color w:val="000000"/>
                <w:sz w:val="19"/>
              </w:rPr>
              <w:t>IGF1R</w:t>
            </w:r>
          </w:p>
        </w:tc>
        <w:tc>
          <w:tcPr>
            <w:tcW w:type="dxa" w:w="29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Cultured fibroblasts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483</w:t>
            </w:r>
          </w:p>
        </w:tc>
        <w:tc>
          <w:tcPr>
            <w:tcW w:type="dxa" w:w="720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33.8</w:t>
            </w:r>
          </w:p>
        </w:tc>
        <w:tc>
          <w:tcPr>
            <w:tcW w:type="dxa" w:w="187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1.23×10⁻⁸</w:t>
            </w:r>
          </w:p>
        </w:tc>
        <w:tc>
          <w:tcPr>
            <w:tcW w:type="dxa" w:w="47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One SNP retained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i/>
                <w:color w:val="000000"/>
                <w:sz w:val="19"/>
              </w:rPr>
              <w:t>TSHR</w:t>
            </w:r>
          </w:p>
        </w:tc>
        <w:tc>
          <w:tcPr>
            <w:tcW w:type="dxa" w:w="29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Subcutaneous adipose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581</w:t>
            </w:r>
          </w:p>
        </w:tc>
        <w:tc>
          <w:tcPr>
            <w:tcW w:type="dxa" w:w="720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38.5</w:t>
            </w:r>
          </w:p>
        </w:tc>
        <w:tc>
          <w:tcPr>
            <w:tcW w:type="dxa" w:w="187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1.12×10⁻⁹</w:t>
            </w:r>
          </w:p>
        </w:tc>
        <w:tc>
          <w:tcPr>
            <w:tcW w:type="dxa" w:w="47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One SNP retained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i/>
                <w:color w:val="000000"/>
                <w:sz w:val="19"/>
              </w:rPr>
              <w:t>IGF1R</w:t>
            </w:r>
          </w:p>
        </w:tc>
        <w:tc>
          <w:tcPr>
            <w:tcW w:type="dxa" w:w="29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Subcutaneous adipose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581</w:t>
            </w:r>
          </w:p>
        </w:tc>
        <w:tc>
          <w:tcPr>
            <w:tcW w:type="dxa" w:w="720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3.56×10⁻⁷</w:t>
            </w:r>
          </w:p>
        </w:tc>
        <w:tc>
          <w:tcPr>
            <w:tcW w:type="dxa" w:w="47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 eQTL at P &lt; 5×10⁻⁸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i/>
                <w:color w:val="000000"/>
                <w:sz w:val="19"/>
              </w:rPr>
              <w:t>TSHR</w:t>
            </w:r>
          </w:p>
        </w:tc>
        <w:tc>
          <w:tcPr>
            <w:tcW w:type="dxa" w:w="29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Visceral adipose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469</w:t>
            </w:r>
          </w:p>
        </w:tc>
        <w:tc>
          <w:tcPr>
            <w:tcW w:type="dxa" w:w="720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32.1</w:t>
            </w:r>
          </w:p>
        </w:tc>
        <w:tc>
          <w:tcPr>
            <w:tcW w:type="dxa" w:w="187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2.77×10⁻⁸</w:t>
            </w:r>
          </w:p>
        </w:tc>
        <w:tc>
          <w:tcPr>
            <w:tcW w:type="dxa" w:w="47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One SNP retained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i/>
                <w:color w:val="000000"/>
                <w:sz w:val="19"/>
              </w:rPr>
              <w:t>IGF1R</w:t>
            </w:r>
          </w:p>
        </w:tc>
        <w:tc>
          <w:tcPr>
            <w:tcW w:type="dxa" w:w="29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Visceral adipose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469</w:t>
            </w:r>
          </w:p>
        </w:tc>
        <w:tc>
          <w:tcPr>
            <w:tcW w:type="dxa" w:w="720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7.76×10⁻⁶</w:t>
            </w:r>
          </w:p>
        </w:tc>
        <w:tc>
          <w:tcPr>
            <w:tcW w:type="dxa" w:w="47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 eQTL at P &lt; 5×10⁻⁸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i/>
                <w:color w:val="000000"/>
                <w:sz w:val="19"/>
              </w:rPr>
              <w:t>TSHR</w:t>
            </w:r>
          </w:p>
        </w:tc>
        <w:tc>
          <w:tcPr>
            <w:tcW w:type="dxa" w:w="29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Whole blood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670</w:t>
            </w:r>
          </w:p>
        </w:tc>
        <w:tc>
          <w:tcPr>
            <w:tcW w:type="dxa" w:w="720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2.46×10⁻⁴</w:t>
            </w:r>
          </w:p>
        </w:tc>
        <w:tc>
          <w:tcPr>
            <w:tcW w:type="dxa" w:w="47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 eQTL at P &lt; 5×10⁻⁸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i/>
                <w:color w:val="000000"/>
                <w:sz w:val="19"/>
              </w:rPr>
              <w:t>IGF1R</w:t>
            </w:r>
          </w:p>
        </w:tc>
        <w:tc>
          <w:tcPr>
            <w:tcW w:type="dxa" w:w="29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Whole blood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670</w:t>
            </w:r>
          </w:p>
        </w:tc>
        <w:tc>
          <w:tcPr>
            <w:tcW w:type="dxa" w:w="720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</w:t>
            </w:r>
          </w:p>
        </w:tc>
        <w:tc>
          <w:tcPr>
            <w:tcW w:type="dxa" w:w="86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5.42×10⁻⁵</w:t>
            </w:r>
          </w:p>
        </w:tc>
        <w:tc>
          <w:tcPr>
            <w:tcW w:type="dxa" w:w="475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 eQTL at P &lt; 5×10⁻⁸</w:t>
            </w:r>
          </w:p>
        </w:tc>
      </w:tr>
    </w:tbl>
    <w:p/>
    <w:p>
      <w:pPr>
        <w:spacing w:after="80"/>
      </w:pPr>
      <w:r>
        <w:rPr>
          <w:sz w:val="18"/>
        </w:rPr>
        <w:t>N is the GTEx tissue eQTL sample size. IVs are retained instrumental genetic variants. Eligibility required cis ±1 Mb, eQTL P &lt; 5×10⁻⁸, F &gt; 10, MAF ≥ 0.01, and EUR-reference LD clumping at r² &lt; 0.001 within 10 Mb. No threshold was relaxed.</w:t>
      </w:r>
    </w:p>
    <w:p>
      <w:pPr>
        <w:spacing w:after="80"/>
      </w:pPr>
      <w:r>
        <w:rPr>
          <w:sz w:val="18"/>
        </w:rPr>
        <w:t>The thyroid TSHR minimum eQTL P was 9.60474×10⁻⁸ and did not qualify. The cultured-fibroblast TSHR gene was absent from the tested-gene file. Neither situation is a negative MR result. Cultured fibroblasts and adipose tissues are not orbital tissue. GTEx whole blood (N = 670) is distinct from the original eQTLGen exposure (up to 31,684 participants); lack of a GTEx instrument does not invalidate the original blood analysis.</w:t>
      </w:r>
    </w:p>
    <w:p>
      <w:pPr>
        <w:spacing w:after="80"/>
      </w:pPr>
      <w:r>
        <w:rPr>
          <w:sz w:val="18"/>
        </w:rPr>
        <w:t>Planned tests: ten primary comparisons against FinnGen GD, and forty secondary comparisons against the other four datasets. Twenty estimates were available; all thirty unestimable comparisons remain in Supplementary Dataset, Tissue_extension.</w:t>
      </w:r>
    </w:p>
    <w:p>
      <w:r>
        <w:br w:type="page"/>
      </w:r>
    </w:p>
    <w:p>
      <w:pPr>
        <w:pStyle w:val="Heading1"/>
      </w:pPr>
      <w:r>
        <w:t>B  All estimable disease associations</w:t>
      </w:r>
    </w:p>
    <w:p>
      <w:pPr>
        <w:spacing w:after="80"/>
      </w:pPr>
      <w:r>
        <w:rPr>
          <w:sz w:val="18"/>
        </w:rPr>
        <w:t>All estimates use one SNP and the Wald ratio. FinnGen GD is the primary comparison within this post hoc tissue extension, not a new primary endpoint of the original study.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96"/>
        <w:gridCol w:w="2088"/>
        <w:gridCol w:w="2232"/>
        <w:gridCol w:w="1656"/>
        <w:gridCol w:w="1656"/>
        <w:gridCol w:w="3024"/>
      </w:tblGrid>
      <w:tr>
        <w:trPr>
          <w:tblHeader/>
          <w:cantSplit/>
        </w:trPr>
        <w:tc>
          <w:tcPr>
            <w:tcW w:type="dxa" w:w="3096"/>
            <w:shd w:fill="E8EEF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Gene and tissue</w:t>
            </w:r>
          </w:p>
        </w:tc>
        <w:tc>
          <w:tcPr>
            <w:tcW w:type="dxa" w:w="2088"/>
            <w:shd w:fill="E8EEF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Disease dataset</w:t>
            </w:r>
          </w:p>
        </w:tc>
        <w:tc>
          <w:tcPr>
            <w:tcW w:type="dxa" w:w="2232"/>
            <w:shd w:fill="E8EEF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OR (95% CI)</w:t>
            </w:r>
          </w:p>
        </w:tc>
        <w:tc>
          <w:tcPr>
            <w:tcW w:type="dxa" w:w="1656"/>
            <w:shd w:fill="E8EEF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P value</w:t>
            </w:r>
          </w:p>
        </w:tc>
        <w:tc>
          <w:tcPr>
            <w:tcW w:type="dxa" w:w="1656"/>
            <w:shd w:fill="E8EEF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Adjusted P</w:t>
            </w:r>
          </w:p>
        </w:tc>
        <w:tc>
          <w:tcPr>
            <w:tcW w:type="dxa" w:w="3024"/>
            <w:shd w:fill="E8EEF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Statistical support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 w:val="restart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20"/>
              </w:rPr>
              <w:t>TSHR</w:t>
              <w:br/>
              <w:t>Subcutaneous adipose</w:t>
            </w:r>
          </w:p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FinnGen GD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0.36 (0.31–0.43)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1.28×10⁻³⁴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1.28×10⁻³³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Corrected support*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BBJ GD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0.46 (0.38–0.55)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1.92×10⁻¹⁵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7.67×10⁻¹⁴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Corrected support*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UKB HT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0.31 (0.27–0.37)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2.86×10⁻⁴²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1.14×10⁻⁴⁰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Corrected support*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FinnGen GO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0.45 (0.32–0.63)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5.76×10⁻⁶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2.30×10⁻⁴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Corrected support*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FinnGen GO strict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0.51 (0.35–0.74)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3.67×10⁻⁴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0.0147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Corrected support*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 w:val="restart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20"/>
              </w:rPr>
              <w:t>TSHR</w:t>
              <w:br/>
              <w:t>Visceral adipose</w:t>
            </w:r>
          </w:p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FinnGen GD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0.50 (0.43–0.58)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4.09×10⁻¹⁹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4.09×10⁻¹⁸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Corrected support*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BBJ GD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0.56 (0.46–0.67)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2.64×10⁻¹⁰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1.06×10⁻⁸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Corrected support*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UKB HT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0.39 (0.34–0.45)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9.19×10⁻³⁸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3.68×10⁻³⁶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Corrected support*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FinnGen GO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0.69 (0.49–0.98)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0.0368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1.000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Nominal only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FinnGen GO strict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0.78 (0.54–1.13)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0.186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1.000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Not significant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 w:val="restart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20"/>
              </w:rPr>
              <w:t>IGF1R</w:t>
              <w:br/>
              <w:t>Thyroid</w:t>
            </w:r>
          </w:p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FinnGen GD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0.76 (0.56–1.02)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0.0692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0.692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Not significant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BBJ GD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1.23 (0.90–1.68)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0.200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1.000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Not significant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UKB HT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1.33 (0.99–1.80)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0.0594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1.000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Not significant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FinnGen GO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1.02 (0.54–1.94)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0.945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1.000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Not significant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FinnGen GO strict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1.23 (0.62–2.44)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0.549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1.000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Not significant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 w:val="restart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20"/>
              </w:rPr>
              <w:t>IGF1R</w:t>
              <w:br/>
              <w:t>Cultured fibroblasts</w:t>
            </w:r>
          </w:p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000000"/>
                <w:sz w:val="19"/>
              </w:rPr>
              <w:t>FinnGen GD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1.11 (0.89–1.38)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0.359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1.000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Not significant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BBJ GD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0.91 (0.70–1.20)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0.511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1.000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Not significant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UKB HT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1.03 (0.82–1.29)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0.815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1.000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Not significant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FinnGen GO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0.78 (0.49–1.25)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0.301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1.000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Not significant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vMerge/>
            <w:tcMar>
              <w:top w:w="48" w:type="dxa"/>
              <w:bottom w:w="48" w:type="dxa"/>
              <w:left w:w="70" w:type="dxa"/>
              <w:right w:w="70" w:type="dxa"/>
            </w:tcMar>
          </w:tcPr>
          <w:p/>
        </w:tc>
        <w:tc>
          <w:tcPr>
            <w:tcW w:type="dxa" w:w="2088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FinnGen GO strict</w:t>
            </w:r>
          </w:p>
        </w:tc>
        <w:tc>
          <w:tcPr>
            <w:tcW w:type="dxa" w:w="2232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0.78 (0.47–1.30)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0.341</w:t>
            </w:r>
          </w:p>
        </w:tc>
        <w:tc>
          <w:tcPr>
            <w:tcW w:type="dxa" w:w="1656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1.000</w:t>
            </w:r>
          </w:p>
        </w:tc>
        <w:tc>
          <w:tcPr>
            <w:tcW w:type="dxa" w:w="3024"/>
            <w:vAlign w:val="center"/>
            <w:tcMar>
              <w:top w:w="48" w:type="dxa"/>
              <w:bottom w:w="48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color w:val="000000"/>
                <w:sz w:val="19"/>
              </w:rPr>
              <w:t>Not significant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sz w:val="18"/>
        </w:rPr>
        <w:t>* Bold P values indicate family-corrected support. Primary FinnGen GD: raw P &lt; 0.005, adjusted P = min(1, 10P). Secondary datasets: raw P &lt; 0.00125, adjusted P = min(1, 40P). Nominal only means P &lt; 0.05 without passing the relevant corrected threshold. The correction denominators retain unestimable comparisons.</w:t>
      </w:r>
    </w:p>
    <w:p>
      <w:pPr>
        <w:spacing w:after="80"/>
      </w:pPr>
      <w:r>
        <w:rPr>
          <w:sz w:val="18"/>
        </w:rPr>
        <w:t>ORs are per unit of normalized, inverse-normal-transformed expression. Effect magnitudes are not directly comparable to reconstructed eQTLGen units. GD, Graves disease; HT, hyperthyroidism; GO, Graves ophthalmopathy. FinnGen endpoints overlap and use population controls. No tissue-specific colocalization was performed. Non-significance does not establish absence of an effect.</w:t>
      </w:r>
    </w:p>
    <w:sectPr w:rsidR="00FC693F" w:rsidRPr="0006063C" w:rsidSect="00034616">
      <w:pgSz w:w="16834" w:h="11909" w:orient="landscape"/>
      <w:pgMar w:top="763" w:right="1008" w:bottom="76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TSHR and IGF1R tissue results</dc:title>
  <dc:subject>Fixed tissue panel with full result reporting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