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Supplementary material</w:t>
      </w:r>
    </w:p>
    <w:p>
      <w:pPr>
        <w:pStyle w:val="Heading1"/>
      </w:pPr>
      <w:r>
        <w:rPr>
          <w:b w:val="0"/>
          <w:i w:val="0"/>
        </w:rPr>
        <w:t>Detailed methods</w:t>
      </w:r>
    </w:p>
    <w:p>
      <w:pPr>
        <w:pStyle w:val="Heading2"/>
      </w:pPr>
      <w:r>
        <w:rPr>
          <w:b w:val="0"/>
          <w:i w:val="0"/>
        </w:rPr>
        <w:t>Dataset definitions and analysis chronology</w:t>
      </w:r>
    </w:p>
    <w:p>
      <w:r>
        <w:rPr>
          <w:b w:val="0"/>
          <w:i w:val="0"/>
        </w:rPr>
        <w:t>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The exact endpoint definitions and source manifests are retained with the analysis verification records. None supplies GD-only controls.</w:t>
      </w:r>
    </w:p>
    <w:p>
      <w:r>
        <w:rPr>
          <w:b w:val="0"/>
          <w:i w:val="0"/>
        </w:rPr>
        <w:t>The original three-outcome analysis preceded the two FinnGen extensions. The expanded plan was frozen before those new analyses, but was not a prospective registration of the complete study. The 24 colocalization genes comprise 13 BBJ discoveries, IGF1R, nine additional primary FinnGen GD discoveries, and frequency-sensitive HLA-G. No new discovery threshold was optimized from these results.</w:t>
      </w:r>
    </w:p>
    <w:p>
      <w:pPr>
        <w:pStyle w:val="Heading2"/>
      </w:pPr>
      <w:r>
        <w:rPr>
          <w:b w:val="0"/>
          <w:i w:val="0"/>
        </w:rPr>
        <w:t>Instrument selection and effect reconstruction</w:t>
      </w:r>
    </w:p>
    <w:p>
      <w:r>
        <w:rPr>
          <w:b w:val="0"/>
          <w:i w:val="0"/>
        </w:rPr>
        <w:t>Significant cis-eQTL instruments (P &lt; 5×10⁻⁸ within ±1 Mb of the gene) were clumped at r² &lt; 0.001 within 10 Mb using the European 1000 Genomes Phase 3 reference (n = 503). Selected instruments and GRCh37 positions are in the Instruments worksheet. SE = 1/√[2f(1−f)(N + Z²)] and β = Z × SE, where f is the assessed-allele frequency and N is the variant-specific expression sample size. Unit expression variance was assumed. Variant F = Z². The estimate is approximately per expression SD, not per SD of the genetic predictor.</w:t>
      </w:r>
    </w:p>
    <w:p>
      <w:r>
        <w:rPr>
          <w:b w:val="0"/>
          <w:i w:val="0"/>
        </w:rPr>
        <w:t>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p>
      <w:pPr>
        <w:pStyle w:val="Heading2"/>
      </w:pPr>
      <w:r>
        <w:rPr>
          <w:b w:val="0"/>
          <w:i w:val="0"/>
        </w:rPr>
        <w:t>MR estimators and instrument diagnostics</w:t>
      </w:r>
    </w:p>
    <w:p>
      <w:r>
        <w:rPr>
          <w:b w:val="0"/>
          <w:i w:val="0"/>
        </w:rPr>
        <w:t>For a single instrument, the Wald coefficient is βY/βX and its first-order SE is SEY/|βX|.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w:t>
      </w:r>
    </w:p>
    <w:p>
      <w:r>
        <w:rPr>
          <w:b w:val="0"/>
          <w:i w:val="0"/>
        </w:rPr>
        <w:t>Post hoc leave-one-out analyses applied IVW when at least two variants remained and the Wald ratio when one remained. Single-instrument TSHR and BBJ CTLA4 were ineligible. Original three-outcome results, new-endpoint results for the fixed 14-gene set, and 72 C4B/HLA-G omission estimates under two frequency sources are retained in separately named worksheets. They reuse the same association data and are not independent replications. C4B/HLA-G instrument weights use βX²/SEY², normalized within each full model. A single-SNP P value can be much smaller than the full IVW P value when heterogeneity inflates the full-model SE.</w:t>
      </w:r>
    </w:p>
    <w:p>
      <w:r>
        <w:rPr>
          <w:i w:val="0"/>
          <w:color w:val="000000"/>
        </w:rPr>
        <w:t>Previous TSHR clumping sensitivity used eQTL thresholds of 5×10⁻⁸/5×10⁻⁶, r² thresholds of 0.001/0.01/0.1, and European (n = 503) or East Asian (n = 504) reference panels. Primary settings selected one European and two East Asian variants, and rs179252 was retained in every setting. Previous chromosome 16p11.2 analyses found high East Asian LD among rs4889606, rs34649473 and rs78924645; conditional analysis supported regional dependence rather than three independent gene effects. These earlier clumping and conditional analyses were preserved; the separate allele-direction audit below newly examined rs179252 and rs179247.</w:t>
      </w:r>
    </w:p>
    <w:p>
      <w:pPr>
        <w:pStyle w:val="Heading2"/>
        <w:widowControl/>
      </w:pPr>
      <w:r>
        <w:rPr>
          <w:i w:val="0"/>
          <w:color w:val="000000"/>
        </w:rPr>
        <w:t>TSHR allele alignment and reference LD</w:t>
      </w:r>
    </w:p>
    <w:p>
      <w:pPr>
        <w:widowControl/>
      </w:pPr>
      <w:r>
        <w:rPr>
          <w:i w:val="0"/>
          <w:color w:val="000000"/>
        </w:rPr>
        <w:t>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 P values and recalculated MR P values were retained separately.</w:t>
      </w:r>
    </w:p>
    <w:p>
      <w:pPr>
        <w:widowControl/>
      </w:pPr>
      <w:r>
        <w:rPr>
          <w:i w:val="0"/>
          <w:color w:val="000000"/>
        </w:rPr>
        <w:t>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Genotype-based r² and haplotype-based estimates were kept distinct.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p>
      <w:pPr>
        <w:pStyle w:val="Heading2"/>
      </w:pPr>
      <w:r>
        <w:rPr>
          <w:b w:val="0"/>
          <w:i w:val="0"/>
        </w:rPr>
        <w:t>Colocalization hypotheses and regional inputs</w:t>
      </w:r>
    </w:p>
    <w:p>
      <w:r>
        <w:rPr>
          <w:b w:val="0"/>
          <w:i w:val="0"/>
        </w:rPr>
        <w:t>coloc.abf received beta/varbeta data for disease (dataset 1, case-control type) and expression (dataset 2, quantitative type, sdY = 1).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 Dataset order is essential to interpreting H1 and H2.</w:t>
      </w:r>
    </w:p>
    <w:p>
      <w:r>
        <w:rPr>
          <w:b w:val="0"/>
          <w:i w:val="0"/>
        </w:rPr>
        <w:t>Primary priors were p1 = p2 = 10⁻⁴ and p12 = 10⁻⁵; sensitivity p12 values were 5×10⁻⁶ and 10⁻⁶. The PP.H4 ≥ 0.80 threshold was a reporting convention, not a significance test. H0–H4 sum to one apart from rounding. Values displayed as &lt;0.001 are nonzero full-precision probabilities in the workbook. The top_snp is conditional on H4, not necessarily the disease lead variant. H3 is a competing distinct-variant model, not a count of causal signals. Multi-signal colocalization was not performed.</w:t>
      </w:r>
    </w:p>
    <w:p>
      <w:r>
        <w:rPr>
          <w:b w:val="0"/>
          <w:i w:val="0"/>
        </w:rPr>
        <w:t>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The additional TSHR 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the absent rs5759410 lead in BBJ was checked against variant aliases without finding a replacement.</w:t>
      </w:r>
    </w:p>
    <w:p>
      <w:pPr>
        <w:pStyle w:val="Heading2"/>
      </w:pPr>
      <w:r>
        <w:rPr>
          <w:b w:val="0"/>
          <w:i w:val="0"/>
        </w:rPr>
        <w:t>Frequency substitution and precision benchmarks</w:t>
      </w:r>
    </w:p>
    <w:p>
      <w:r>
        <w:rPr>
          <w:b w:val="0"/>
          <w:i w:val="0"/>
        </w:rPr>
        <w:t>The published eQTLGen frequency release covered 26,609 participants, excluding Framingham. Reconstructing βX and SEX with fixed Z and N preserves their ratio up to floating-point precision. For a single-IV Wald estimate, frequency scaling changes the effect unit and SE together and preserves the normal-test P value; for IVW, variant weights can change. The new-endpoint MR dataset separates identical-variant scaling from repeat allele harmonization. C4B and HLA-G were audited with identical retained variants and outcome effects, so their differences arise from scaling and weighting rather than a changed variant set. Large frequency discrepancies are documented, not assumed to be resolved by correct identifier matching.</w:t>
      </w:r>
    </w:p>
    <w:p>
      <w:r>
        <w:rPr>
          <w:i w:val="0"/>
          <w:color w:val="000000"/>
        </w:rPr>
        <w:t>The earlier detection benchmarks use (z₁₋α/₂ + z₀.₈₀) × SE as the approximate 80% minimum detectable absolute log-OR. Alpha was 0.05/2,544 for BBJ and 0.05 for the original UKB/FinnGen comparisons. These are precision summaries using observed SEs, not prospective sample-size calculations, post hoc proof of power, or power of colocalization/the combined filter. The Detection_original worksheet retains this original three-outcome scope; no unperformed new-endpoint power analysis is implied.</w:t>
      </w:r>
    </w:p>
    <w:p>
      <w:pPr>
        <w:pStyle w:val="Heading2"/>
        <w:widowControl/>
      </w:pPr>
      <w:r>
        <w:rPr>
          <w:i w:val="0"/>
          <w:color w:val="000000"/>
        </w:rPr>
        <w:t>Fixed-panel tissue extension</w:t>
      </w:r>
    </w:p>
    <w:p>
      <w:pPr>
        <w:widowControl/>
      </w:pPr>
      <w:r>
        <w:rPr>
          <w:i w:val="0"/>
          <w:color w:val="000000"/>
        </w:rPr>
        <w:t>The post hoc tissue extension retained a frozen panel of TSHR and IGF1R 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5×10⁻⁸ for every eligible combination, permitting complete selection at the fixed threshold. Absence from the tested-gene file was distinguished from a minimum eQTL P value above the threshold. The standard release includes multiple ancestries; the overall donor cohort was 85.3% European American, not a tissue-specific percentage.</w:t>
      </w:r>
    </w:p>
    <w:p>
      <w:pPr>
        <w:widowControl/>
      </w:pPr>
      <w:r>
        <w:rPr>
          <w:i w:val="0"/>
          <w:color w:val="000000"/>
        </w:rPr>
        <w:t>Variants were restricted to ±1 Mb of the source GENCODE v26 TSS, P &lt; 5×10⁻⁸,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 IGF1R candidates was absent from the reference, while its strongest candidate was retained. All selected variants were non-palindromic and matched exactly in the five disease datasets; no proxies or relaxed thresholds were used.</w:t>
      </w:r>
    </w:p>
    <w:p>
      <w:pPr>
        <w:widowControl/>
      </w:pPr>
      <w:r>
        <w:rPr>
          <w:i w:val="0"/>
          <w:color w:val="000000"/>
        </w:rPr>
        <w:t>Each of the four estimable gene–tissue combinations retained one SNP. Wald estimates used βY/βX and SEY/|βX| with normal two-sided P values and 95% CIs; independent R calculations verified all 20 estimates. The UKB linear-to-log-odds conversion was applied once. ORs represent one unit of inverse-normal-transformed normalized expression; they are not directly comparable to an intervention or to the reconstructed eQTLGen scale. Primary adjusted P = min(1,10P) for FinnGen GD; secondary adjusted P = min(1,40P)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p>
      <w:pPr>
        <w:pStyle w:val="Heading2"/>
      </w:pPr>
      <w:r>
        <w:rPr>
          <w:b w:val="0"/>
          <w:i w:val="0"/>
        </w:rPr>
        <w:t>Orbital expression and reproducibility</w:t>
      </w:r>
    </w:p>
    <w:p>
      <w:r>
        <w:rPr>
          <w:b w:val="0"/>
          <w:i w:val="0"/>
        </w:rPr>
        <w:t>Four TED patients and one control contributed orbital RNA-sequencing data. Technical replicates were combined by biological sample. Figure S1 retains the previously reviewed sample-level transcript abundance and log2[(mean TED TPM + 0.01)/(control TPM + 0.01)]. One control cannot estimate control-group biological variance reliably, and no differential-expression P value was used. The dataset is descriptive and did not influence candidate selection. Collection and laboratory metadata should be confirmed by the tissue investigators before submission; this reanalysis did not independently reconstruct tissue collection or sequencing procedures.</w:t>
      </w:r>
    </w:p>
    <w:p>
      <w:r>
        <w:rPr>
          <w:b w:val="0"/>
          <w:i w:val="0"/>
        </w:rPr>
        <w:t>The workbook preserves exported full-precision analytical outputs, not spreadsheet reimplementations of MR. Readme and Column_dictionary identify each sheet, its scope and its actual columns; no outcome_min_p field is described unless present in the source. Source hashes and numerical checks accompany the review package. Reproduction of a calculation validates implementation, not instrument validity, causal assumptions or clinical generalizability.</w:t>
      </w:r>
    </w:p>
    <w:p>
      <w:pPr>
        <w:sectPr>
          <w:footerReference w:type="default" r:id="rId9"/>
          <w:pgSz w:w="12240" w:h="15840"/>
          <w:pgMar w:top="1008" w:right="1080" w:bottom="1008" w:left="1080" w:header="432" w:footer="432" w:gutter="0"/>
          <w:cols w:space="720"/>
          <w:docGrid w:linePitch="360"/>
        </w:sectPr>
      </w:pPr>
    </w:p>
    <w:p>
      <w:pPr>
        <w:pStyle w:val="Heading1"/>
      </w:pPr>
      <w:r>
        <w:t>Table S1. TSHR regional and prior sensitivity</w:t>
      </w:r>
    </w:p>
    <w:tbl>
      <w:tblPr>
        <w:tblW w:type="auto" w:w="0"/>
        <w:tblLayout w:type="fixed"/>
        <w:tblLook w:firstColumn="1" w:firstRow="1" w:lastColumn="0" w:lastRow="0" w:noHBand="0" w:noVBand="1" w:val="04A0"/>
      </w:tblPr>
      <w:tblGrid>
        <w:gridCol w:w="2880"/>
        <w:gridCol w:w="1728"/>
        <w:gridCol w:w="2304"/>
        <w:gridCol w:w="2736"/>
        <w:gridCol w:w="4032"/>
      </w:tblGrid>
      <w:tr>
        <w:trPr>
          <w:tblHeader/>
          <w:cantSplit/>
        </w:trPr>
        <w:tc>
          <w:tcPr>
            <w:tcW w:type="dxa" w:w="2880"/>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Dataset</w:t>
            </w:r>
          </w:p>
        </w:tc>
        <w:tc>
          <w:tcPr>
            <w:tcW w:type="dxa" w:w="1728"/>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Full cis SNPs</w:t>
            </w:r>
          </w:p>
        </w:tc>
        <w:tc>
          <w:tcPr>
            <w:tcW w:type="dxa" w:w="2304"/>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Primary PP.H4</w:t>
            </w:r>
          </w:p>
        </w:tc>
        <w:tc>
          <w:tcPr>
            <w:tcW w:type="dxa" w:w="2736"/>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Lower-prior PP.H4</w:t>
            </w:r>
          </w:p>
        </w:tc>
        <w:tc>
          <w:tcPr>
            <w:tcW w:type="dxa" w:w="4032"/>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PP.H4 range across windows</w:t>
            </w:r>
          </w:p>
        </w:tc>
      </w:tr>
      <w:tr>
        <w:trPr>
          <w:cantSplit/>
        </w:trPr>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BBJ GD</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4336</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color w:val="000000"/>
                <w:sz w:val="19"/>
              </w:rPr>
              <w:t>0.951</w:t>
            </w:r>
          </w:p>
        </w:tc>
        <w:tc>
          <w:tcPr>
            <w:tcW w:type="dxa" w:w="273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0.661</w:t>
            </w:r>
          </w:p>
        </w:tc>
        <w:tc>
          <w:tcPr>
            <w:tcW w:type="dxa" w:w="403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0.951–0.951</w:t>
            </w:r>
          </w:p>
        </w:tc>
      </w:tr>
      <w:tr>
        <w:trPr>
          <w:cantSplit/>
        </w:trPr>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GD</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6579</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0.264</w:t>
            </w:r>
          </w:p>
        </w:tc>
        <w:tc>
          <w:tcPr>
            <w:tcW w:type="dxa" w:w="273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0.035</w:t>
            </w:r>
          </w:p>
        </w:tc>
        <w:tc>
          <w:tcPr>
            <w:tcW w:type="dxa" w:w="403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0.264–0.264</w:t>
            </w:r>
          </w:p>
        </w:tc>
      </w:tr>
      <w:tr>
        <w:trPr>
          <w:cantSplit/>
        </w:trPr>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UKB HT</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5667</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0.226</w:t>
            </w:r>
          </w:p>
        </w:tc>
        <w:tc>
          <w:tcPr>
            <w:tcW w:type="dxa" w:w="273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0.028</w:t>
            </w:r>
          </w:p>
        </w:tc>
        <w:tc>
          <w:tcPr>
            <w:tcW w:type="dxa" w:w="403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0.226–0.226</w:t>
            </w:r>
          </w:p>
        </w:tc>
      </w:tr>
      <w:tr>
        <w:trPr>
          <w:cantSplit/>
        </w:trPr>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GO</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6579</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color w:val="000000"/>
                <w:sz w:val="19"/>
              </w:rPr>
              <w:t>0.986</w:t>
            </w:r>
          </w:p>
        </w:tc>
        <w:tc>
          <w:tcPr>
            <w:tcW w:type="dxa" w:w="2736"/>
            <w:tcMar>
              <w:top w:w="65" w:type="dxa"/>
              <w:left w:w="65" w:type="dxa"/>
              <w:bottom w:w="65" w:type="dxa"/>
              <w:right w:w="65" w:type="dxa"/>
            </w:tcMar>
            <w:tcBorders>
              <w:bottom w:val="single" w:sz="4" w:color="BFC6CA"/>
            </w:tcBorders>
          </w:tcPr>
          <w:p>
            <w:pPr>
              <w:spacing w:after="60" w:before="60" w:line="252" w:lineRule="auto"/>
            </w:pPr>
            <w:r>
              <w:rPr>
                <w:b/>
                <w:color w:val="000000"/>
                <w:sz w:val="19"/>
              </w:rPr>
              <w:t>0.875</w:t>
            </w:r>
          </w:p>
        </w:tc>
        <w:tc>
          <w:tcPr>
            <w:tcW w:type="dxa" w:w="403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0.986–0.987</w:t>
            </w:r>
          </w:p>
        </w:tc>
      </w:tr>
      <w:tr>
        <w:trPr>
          <w:cantSplit/>
        </w:trPr>
        <w:tc>
          <w:tcPr>
            <w:tcW w:type="dxa" w:w="288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FinnGen GO strict</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6579</w:t>
            </w:r>
          </w:p>
        </w:tc>
        <w:tc>
          <w:tcPr>
            <w:tcW w:type="dxa" w:w="2304"/>
            <w:tcMar>
              <w:top w:w="65" w:type="dxa"/>
              <w:left w:w="65" w:type="dxa"/>
              <w:bottom w:w="65" w:type="dxa"/>
              <w:right w:w="65" w:type="dxa"/>
            </w:tcMar>
            <w:tcBorders>
              <w:bottom w:val="single" w:sz="4" w:color="BFC6CA"/>
            </w:tcBorders>
          </w:tcPr>
          <w:p>
            <w:pPr>
              <w:spacing w:after="60" w:before="60" w:line="252" w:lineRule="auto"/>
            </w:pPr>
            <w:r>
              <w:rPr>
                <w:b/>
                <w:color w:val="000000"/>
                <w:sz w:val="19"/>
              </w:rPr>
              <w:t>0.891</w:t>
            </w:r>
          </w:p>
        </w:tc>
        <w:tc>
          <w:tcPr>
            <w:tcW w:type="dxa" w:w="2736"/>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0.451</w:t>
            </w:r>
          </w:p>
        </w:tc>
        <w:tc>
          <w:tcPr>
            <w:tcW w:type="dxa" w:w="403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0.891–0.905</w:t>
            </w:r>
          </w:p>
        </w:tc>
      </w:tr>
    </w:tbl>
    <w:p>
      <w:pPr>
        <w:spacing w:before="160"/>
      </w:pPr>
      <w:r>
        <w:rPr>
          <w:sz w:val="18"/>
        </w:rPr>
        <w:t>Table S1. TSHR regional and prior sensitivity. Lower prior: p12 = 10⁻⁶; p1 = p2 = 10⁻⁴ throughout. Window range uses the full source cis-region, ±500 kb, ±250 kb and five-outcome intersection at the primary prior. It is not a confidence interval. Full regional disease lead variants were retained. All 240 settings are in TSHR_windows.</w:t>
      </w:r>
    </w:p>
    <w:p>
      <w:r>
        <w:br w:type="page"/>
      </w:r>
    </w:p>
    <w:p>
      <w:pPr>
        <w:pStyle w:val="Heading1"/>
      </w:pPr>
      <w:r>
        <w:t>Table S2. Frequency-sensitive exploratory candidates</w:t>
      </w:r>
    </w:p>
    <w:tbl>
      <w:tblPr>
        <w:tblW w:type="auto" w:w="0"/>
        <w:tblLayout w:type="fixed"/>
        <w:tblLook w:firstColumn="1" w:firstRow="1" w:lastColumn="0" w:lastRow="0" w:noHBand="0" w:noVBand="1" w:val="04A0"/>
      </w:tblPr>
      <w:tblGrid>
        <w:gridCol w:w="3312"/>
        <w:gridCol w:w="1728"/>
        <w:gridCol w:w="720"/>
        <w:gridCol w:w="3024"/>
        <w:gridCol w:w="2448"/>
        <w:gridCol w:w="2448"/>
      </w:tblGrid>
      <w:tr>
        <w:trPr>
          <w:tblHeader/>
          <w:cantSplit/>
        </w:trPr>
        <w:tc>
          <w:tcPr>
            <w:tcW w:type="dxa" w:w="3312"/>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Gene / dataset</w:t>
            </w:r>
          </w:p>
        </w:tc>
        <w:tc>
          <w:tcPr>
            <w:tcW w:type="dxa" w:w="1728"/>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Frequency</w:t>
            </w:r>
          </w:p>
        </w:tc>
        <w:tc>
          <w:tcPr>
            <w:tcW w:type="dxa" w:w="720"/>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IVs</w:t>
            </w:r>
          </w:p>
        </w:tc>
        <w:tc>
          <w:tcPr>
            <w:tcW w:type="dxa" w:w="3024"/>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OR (95% CI)</w:t>
            </w:r>
          </w:p>
        </w:tc>
        <w:tc>
          <w:tcPr>
            <w:tcW w:type="dxa" w:w="2448"/>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P value</w:t>
            </w:r>
          </w:p>
        </w:tc>
        <w:tc>
          <w:tcPr>
            <w:tcW w:type="dxa" w:w="2448"/>
            <w:tcMar>
              <w:top w:w="65" w:type="dxa"/>
              <w:left w:w="65" w:type="dxa"/>
              <w:bottom w:w="65" w:type="dxa"/>
              <w:right w:w="65" w:type="dxa"/>
            </w:tcMar>
            <w:shd w:fill="EDF0F2"/>
            <w:tcBorders>
              <w:bottom w:val="single" w:sz="4" w:color="BFC6CA"/>
            </w:tcBorders>
          </w:tcPr>
          <w:p>
            <w:pPr>
              <w:spacing w:after="60" w:before="60" w:line="252" w:lineRule="auto"/>
            </w:pPr>
            <w:r>
              <w:rPr>
                <w:b/>
                <w:color w:val="000000"/>
                <w:sz w:val="19"/>
              </w:rPr>
              <w:t>Q-test P</w:t>
            </w:r>
          </w:p>
        </w:tc>
      </w:tr>
      <w:tr>
        <w:trPr>
          <w:cantSplit/>
        </w:trPr>
        <w:tc>
          <w:tcPr>
            <w:tcW w:type="dxa" w:w="331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C4B / FinnGen GD</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Reference</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w:t>
            </w:r>
          </w:p>
        </w:tc>
        <w:tc>
          <w:tcPr>
            <w:tcW w:type="dxa" w:w="302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1.63 (1.31–2.03)</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1.10×10⁻⁵</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7.79×10⁻⁷</w:t>
            </w:r>
          </w:p>
        </w:tc>
      </w:tr>
      <w:tr>
        <w:trPr>
          <w:cantSplit/>
        </w:trPr>
        <w:tc>
          <w:tcPr>
            <w:tcW w:type="dxa" w:w="331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C4B / FinnGen GD</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eQTLGen</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w:t>
            </w:r>
          </w:p>
        </w:tc>
        <w:tc>
          <w:tcPr>
            <w:tcW w:type="dxa" w:w="302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1.75 (1.31–2.33)</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1.48×10⁻⁴</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1.36×10⁻⁸</w:t>
            </w:r>
          </w:p>
        </w:tc>
      </w:tr>
      <w:tr>
        <w:trPr>
          <w:cantSplit/>
        </w:trPr>
        <w:tc>
          <w:tcPr>
            <w:tcW w:type="dxa" w:w="331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C4B / FinnGen GO strict</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Reference</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w:t>
            </w:r>
          </w:p>
        </w:tc>
        <w:tc>
          <w:tcPr>
            <w:tcW w:type="dxa" w:w="302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1.68 (1.44–1.95)</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2.74×10⁻¹¹</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0.122</w:t>
            </w:r>
          </w:p>
        </w:tc>
      </w:tr>
      <w:tr>
        <w:trPr>
          <w:cantSplit/>
        </w:trPr>
        <w:tc>
          <w:tcPr>
            <w:tcW w:type="dxa" w:w="331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C4B / FinnGen GO strict</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eQTLGen</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w:t>
            </w:r>
          </w:p>
        </w:tc>
        <w:tc>
          <w:tcPr>
            <w:tcW w:type="dxa" w:w="302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1.80 (1.46–2.23)</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6.17×10⁻⁸</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0.0587</w:t>
            </w:r>
          </w:p>
        </w:tc>
      </w:tr>
      <w:tr>
        <w:trPr>
          <w:cantSplit/>
        </w:trPr>
        <w:tc>
          <w:tcPr>
            <w:tcW w:type="dxa" w:w="331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HLA-G / FinnGen GD</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Reference</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16</w:t>
            </w:r>
          </w:p>
        </w:tc>
        <w:tc>
          <w:tcPr>
            <w:tcW w:type="dxa" w:w="302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0.86 (0.72–1.03)</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0.107</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9.98×10⁻²⁴</w:t>
            </w:r>
          </w:p>
        </w:tc>
      </w:tr>
      <w:tr>
        <w:trPr>
          <w:cantSplit/>
        </w:trPr>
        <w:tc>
          <w:tcPr>
            <w:tcW w:type="dxa" w:w="331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HLA-G / FinnGen GD</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eQTLGen</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16</w:t>
            </w:r>
          </w:p>
        </w:tc>
        <w:tc>
          <w:tcPr>
            <w:tcW w:type="dxa" w:w="302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0.60 (0.47–0.75)</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1.72×10⁻⁵</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2.26×10⁻¹⁰</w:t>
            </w:r>
          </w:p>
        </w:tc>
      </w:tr>
      <w:tr>
        <w:trPr>
          <w:cantSplit/>
        </w:trPr>
        <w:tc>
          <w:tcPr>
            <w:tcW w:type="dxa" w:w="331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HLA-G / FinnGen GO strict</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Reference</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16</w:t>
            </w:r>
          </w:p>
        </w:tc>
        <w:tc>
          <w:tcPr>
            <w:tcW w:type="dxa" w:w="302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0.91 (0.76–1.08)</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0.267</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0.0231</w:t>
            </w:r>
          </w:p>
        </w:tc>
      </w:tr>
      <w:tr>
        <w:trPr>
          <w:cantSplit/>
        </w:trPr>
        <w:tc>
          <w:tcPr>
            <w:tcW w:type="dxa" w:w="3312"/>
            <w:tcMar>
              <w:top w:w="65" w:type="dxa"/>
              <w:left w:w="65" w:type="dxa"/>
              <w:bottom w:w="65" w:type="dxa"/>
              <w:right w:w="65" w:type="dxa"/>
            </w:tcMar>
            <w:tcBorders>
              <w:bottom w:val="single" w:sz="4" w:color="BFC6CA"/>
            </w:tcBorders>
          </w:tcPr>
          <w:p>
            <w:pPr>
              <w:spacing w:after="60" w:before="60" w:line="252" w:lineRule="auto"/>
            </w:pPr>
            <w:r>
              <w:rPr>
                <w:b w:val="0"/>
                <w:color w:val="000000"/>
                <w:sz w:val="19"/>
              </w:rPr>
              <w:t>HLA-G / FinnGen GO strict</w:t>
            </w:r>
          </w:p>
        </w:tc>
        <w:tc>
          <w:tcPr>
            <w:tcW w:type="dxa" w:w="172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eQTLGen</w:t>
            </w:r>
          </w:p>
        </w:tc>
        <w:tc>
          <w:tcPr>
            <w:tcW w:type="dxa" w:w="720"/>
            <w:tcMar>
              <w:top w:w="65" w:type="dxa"/>
              <w:left w:w="65" w:type="dxa"/>
              <w:bottom w:w="65" w:type="dxa"/>
              <w:right w:w="65" w:type="dxa"/>
            </w:tcMar>
            <w:tcBorders>
              <w:bottom w:val="single" w:sz="4" w:color="BFC6CA"/>
            </w:tcBorders>
          </w:tcPr>
          <w:p>
            <w:pPr>
              <w:spacing w:after="60" w:before="60" w:line="252" w:lineRule="auto"/>
            </w:pPr>
            <w:r>
              <w:rPr>
                <w:b w:val="0"/>
                <w:color w:val="000000"/>
                <w:sz w:val="19"/>
              </w:rPr>
              <w:t>16</w:t>
            </w:r>
          </w:p>
        </w:tc>
        <w:tc>
          <w:tcPr>
            <w:tcW w:type="dxa" w:w="3024"/>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0.70 (0.53–0.92)</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color w:val="000000"/>
                <w:sz w:val="19"/>
              </w:rPr>
              <w:t>0.0122</w:t>
            </w:r>
          </w:p>
        </w:tc>
        <w:tc>
          <w:tcPr>
            <w:tcW w:type="dxa" w:w="2448"/>
            <w:tcMar>
              <w:top w:w="65" w:type="dxa"/>
              <w:left w:w="65" w:type="dxa"/>
              <w:bottom w:w="65" w:type="dxa"/>
              <w:right w:w="65" w:type="dxa"/>
            </w:tcMar>
            <w:tcBorders>
              <w:bottom w:val="single" w:sz="4" w:color="BFC6CA"/>
            </w:tcBorders>
          </w:tcPr>
          <w:p>
            <w:pPr>
              <w:spacing w:after="60" w:before="60" w:line="252" w:lineRule="auto"/>
            </w:pPr>
            <w:r>
              <w:rPr>
                <w:b w:val="0"/>
                <w:color w:val="000000"/>
                <w:sz w:val="19"/>
              </w:rPr>
              <w:t>0.131</w:t>
            </w:r>
          </w:p>
        </w:tc>
      </w:tr>
    </w:tbl>
    <w:p>
      <w:pPr>
        <w:spacing w:before="160"/>
      </w:pPr>
      <w:r>
        <w:rPr>
          <w:sz w:val="18"/>
        </w:rPr>
        <w:t>Table S2. C4B and HLA-G frequency sensitivity. Variant sets and outcome effects were held fixed. Frequency changes rescaled expression estimates and IVW weights. Q tests heterogeneity, not directional pleiotropy; its P value is not a gene-association P value. All 72 omission estimates and instrument weights are provided in the workbook.</w:t>
      </w:r>
    </w:p>
    <w:p>
      <w:r>
        <w:br w:type="page"/>
      </w:r>
    </w:p>
    <w:p>
      <w:pPr>
        <w:pStyle w:val="Heading1"/>
      </w:pPr>
      <w:r>
        <w:rPr>
          <w:i w:val="0"/>
          <w:color w:val="000000"/>
        </w:rPr>
        <w:t>Table S3. Tissue-specific expression and FinnGen GD</w:t>
      </w:r>
    </w:p>
    <w:tbl>
      <w:tblPr>
        <w:tblW w:type="auto" w:w="0"/>
        <w:tblLayout w:type="fixed"/>
        <w:tblLook w:firstColumn="1" w:firstRow="1" w:lastColumn="0" w:lastRow="0" w:noHBand="0" w:noVBand="1" w:val="04A0"/>
      </w:tblPr>
      <w:tblGrid>
        <w:gridCol w:w="4752"/>
        <w:gridCol w:w="792"/>
        <w:gridCol w:w="720"/>
        <w:gridCol w:w="2880"/>
        <w:gridCol w:w="1944"/>
        <w:gridCol w:w="2016"/>
      </w:tblGrid>
      <w:tr>
        <w:tc>
          <w:tcPr>
            <w:tcW w:type="dxa" w:w="4752"/>
            <w:shd w:fill="EDF0F2"/>
          </w:tcPr>
          <w:p>
            <w:pPr>
              <w:spacing w:before="80" w:after="80" w:line="240" w:lineRule="auto"/>
              <w:jc w:val="left"/>
            </w:pPr>
            <w:r>
              <w:rPr>
                <w:b/>
                <w:i w:val="0"/>
                <w:color w:val="000000"/>
                <w:sz w:val="19"/>
              </w:rPr>
              <w:t>Gene / tissue</w:t>
            </w:r>
          </w:p>
        </w:tc>
        <w:tc>
          <w:tcPr>
            <w:tcW w:type="dxa" w:w="792"/>
            <w:shd w:fill="EDF0F2"/>
          </w:tcPr>
          <w:p>
            <w:pPr>
              <w:spacing w:before="80" w:after="80" w:line="240" w:lineRule="auto"/>
              <w:jc w:val="center"/>
            </w:pPr>
            <w:r>
              <w:rPr>
                <w:b/>
                <w:i w:val="0"/>
                <w:color w:val="000000"/>
                <w:sz w:val="19"/>
              </w:rPr>
              <w:t>N</w:t>
            </w:r>
          </w:p>
        </w:tc>
        <w:tc>
          <w:tcPr>
            <w:tcW w:type="dxa" w:w="720"/>
            <w:shd w:fill="EDF0F2"/>
          </w:tcPr>
          <w:p>
            <w:pPr>
              <w:spacing w:before="80" w:after="80" w:line="240" w:lineRule="auto"/>
              <w:jc w:val="center"/>
            </w:pPr>
            <w:r>
              <w:rPr>
                <w:b/>
                <w:i w:val="0"/>
                <w:color w:val="000000"/>
                <w:sz w:val="19"/>
              </w:rPr>
              <w:t>IVs</w:t>
            </w:r>
          </w:p>
        </w:tc>
        <w:tc>
          <w:tcPr>
            <w:tcW w:type="dxa" w:w="2880"/>
            <w:shd w:fill="EDF0F2"/>
          </w:tcPr>
          <w:p>
            <w:pPr>
              <w:spacing w:before="80" w:after="80" w:line="240" w:lineRule="auto"/>
              <w:jc w:val="center"/>
            </w:pPr>
            <w:r>
              <w:rPr>
                <w:b/>
                <w:i w:val="0"/>
                <w:color w:val="000000"/>
                <w:sz w:val="19"/>
              </w:rPr>
              <w:t>OR (95% CI)</w:t>
            </w:r>
          </w:p>
        </w:tc>
        <w:tc>
          <w:tcPr>
            <w:tcW w:type="dxa" w:w="1944"/>
            <w:shd w:fill="EDF0F2"/>
          </w:tcPr>
          <w:p>
            <w:pPr>
              <w:spacing w:before="80" w:after="80" w:line="240" w:lineRule="auto"/>
              <w:jc w:val="center"/>
            </w:pPr>
            <w:r>
              <w:rPr>
                <w:b/>
                <w:i w:val="0"/>
                <w:color w:val="000000"/>
                <w:sz w:val="19"/>
              </w:rPr>
              <w:t>P value</w:t>
            </w:r>
          </w:p>
        </w:tc>
        <w:tc>
          <w:tcPr>
            <w:tcW w:type="dxa" w:w="2016"/>
            <w:shd w:fill="EDF0F2"/>
          </w:tcPr>
          <w:p>
            <w:pPr>
              <w:spacing w:before="80" w:after="80" w:line="240" w:lineRule="auto"/>
              <w:jc w:val="center"/>
            </w:pPr>
            <w:r>
              <w:rPr>
                <w:b/>
                <w:i w:val="0"/>
                <w:color w:val="000000"/>
                <w:sz w:val="19"/>
              </w:rPr>
              <w:t>Adjusted P</w:t>
            </w:r>
          </w:p>
        </w:tc>
      </w:tr>
      <w:tr>
        <w:tc>
          <w:tcPr>
            <w:tcW w:type="dxa" w:w="4752"/>
          </w:tcPr>
          <w:p>
            <w:pPr>
              <w:spacing w:before="80" w:after="80" w:line="240" w:lineRule="auto"/>
              <w:jc w:val="left"/>
            </w:pPr>
            <w:r>
              <w:rPr>
                <w:b w:val="0"/>
                <w:i w:val="0"/>
                <w:color w:val="000000"/>
                <w:sz w:val="19"/>
              </w:rPr>
              <w:t>TSHR / Thyroid</w:t>
            </w:r>
          </w:p>
        </w:tc>
        <w:tc>
          <w:tcPr>
            <w:tcW w:type="dxa" w:w="792"/>
          </w:tcPr>
          <w:p>
            <w:pPr>
              <w:spacing w:before="80" w:after="80" w:line="240" w:lineRule="auto"/>
              <w:jc w:val="center"/>
            </w:pPr>
            <w:r>
              <w:rPr>
                <w:b w:val="0"/>
                <w:i w:val="0"/>
                <w:color w:val="000000"/>
                <w:sz w:val="19"/>
              </w:rPr>
              <w:t>574</w:t>
            </w:r>
          </w:p>
        </w:tc>
        <w:tc>
          <w:tcPr>
            <w:tcW w:type="dxa" w:w="720"/>
          </w:tcPr>
          <w:p>
            <w:pPr>
              <w:spacing w:before="80" w:after="80" w:line="240" w:lineRule="auto"/>
              <w:jc w:val="center"/>
            </w:pPr>
            <w:r>
              <w:rPr>
                <w:b w:val="0"/>
                <w:i w:val="0"/>
                <w:color w:val="000000"/>
                <w:sz w:val="19"/>
              </w:rPr>
              <w:t>0</w:t>
            </w:r>
          </w:p>
        </w:tc>
        <w:tc>
          <w:tcPr>
            <w:tcW w:type="dxa" w:w="2880"/>
          </w:tcPr>
          <w:p>
            <w:pPr>
              <w:spacing w:before="80" w:after="80" w:line="240" w:lineRule="auto"/>
              <w:jc w:val="center"/>
            </w:pPr>
            <w:r>
              <w:rPr>
                <w:b w:val="0"/>
                <w:i w:val="0"/>
                <w:color w:val="000000"/>
                <w:sz w:val="19"/>
              </w:rPr>
              <w:t>No qualifying IV</w:t>
            </w:r>
          </w:p>
        </w:tc>
        <w:tc>
          <w:tcPr>
            <w:tcW w:type="dxa" w:w="1944"/>
          </w:tcPr>
          <w:p>
            <w:pPr>
              <w:spacing w:before="80" w:after="80" w:line="240" w:lineRule="auto"/>
              <w:jc w:val="center"/>
            </w:pPr>
            <w:r>
              <w:rPr>
                <w:b w:val="0"/>
                <w:i w:val="0"/>
                <w:color w:val="000000"/>
                <w:sz w:val="19"/>
              </w:rPr>
              <w:t>—</w:t>
            </w:r>
          </w:p>
        </w:tc>
        <w:tc>
          <w:tcPr>
            <w:tcW w:type="dxa" w:w="2016"/>
          </w:tcPr>
          <w:p>
            <w:pPr>
              <w:spacing w:before="80" w:after="80" w:line="240" w:lineRule="auto"/>
              <w:jc w:val="center"/>
            </w:pPr>
            <w:r>
              <w:rPr>
                <w:b w:val="0"/>
                <w:i w:val="0"/>
                <w:color w:val="000000"/>
                <w:sz w:val="19"/>
              </w:rPr>
              <w:t>—</w:t>
            </w:r>
          </w:p>
        </w:tc>
      </w:tr>
      <w:tr>
        <w:tc>
          <w:tcPr>
            <w:tcW w:type="dxa" w:w="4752"/>
          </w:tcPr>
          <w:p>
            <w:pPr>
              <w:spacing w:before="80" w:after="80" w:line="240" w:lineRule="auto"/>
              <w:jc w:val="left"/>
            </w:pPr>
            <w:r>
              <w:rPr>
                <w:b w:val="0"/>
                <w:i w:val="0"/>
                <w:color w:val="000000"/>
                <w:sz w:val="19"/>
              </w:rPr>
              <w:t>IGF1R / Thyroid</w:t>
            </w:r>
          </w:p>
        </w:tc>
        <w:tc>
          <w:tcPr>
            <w:tcW w:type="dxa" w:w="792"/>
          </w:tcPr>
          <w:p>
            <w:pPr>
              <w:spacing w:before="80" w:after="80" w:line="240" w:lineRule="auto"/>
              <w:jc w:val="center"/>
            </w:pPr>
            <w:r>
              <w:rPr>
                <w:b w:val="0"/>
                <w:i w:val="0"/>
                <w:color w:val="000000"/>
                <w:sz w:val="19"/>
              </w:rPr>
              <w:t>574</w:t>
            </w:r>
          </w:p>
        </w:tc>
        <w:tc>
          <w:tcPr>
            <w:tcW w:type="dxa" w:w="720"/>
          </w:tcPr>
          <w:p>
            <w:pPr>
              <w:spacing w:before="80" w:after="80" w:line="240" w:lineRule="auto"/>
              <w:jc w:val="center"/>
            </w:pPr>
            <w:r>
              <w:rPr>
                <w:b w:val="0"/>
                <w:i w:val="0"/>
                <w:color w:val="000000"/>
                <w:sz w:val="19"/>
              </w:rPr>
              <w:t>1</w:t>
            </w:r>
          </w:p>
        </w:tc>
        <w:tc>
          <w:tcPr>
            <w:tcW w:type="dxa" w:w="2880"/>
          </w:tcPr>
          <w:p>
            <w:pPr>
              <w:spacing w:before="80" w:after="80" w:line="240" w:lineRule="auto"/>
              <w:jc w:val="center"/>
            </w:pPr>
            <w:r>
              <w:rPr>
                <w:b w:val="0"/>
                <w:i w:val="0"/>
                <w:color w:val="000000"/>
                <w:sz w:val="19"/>
              </w:rPr>
              <w:t>0.76 (0.56–1.02)</w:t>
            </w:r>
          </w:p>
        </w:tc>
        <w:tc>
          <w:tcPr>
            <w:tcW w:type="dxa" w:w="1944"/>
          </w:tcPr>
          <w:p>
            <w:pPr>
              <w:spacing w:before="80" w:after="80" w:line="240" w:lineRule="auto"/>
              <w:jc w:val="center"/>
            </w:pPr>
            <w:r>
              <w:rPr>
                <w:b w:val="0"/>
                <w:i w:val="0"/>
                <w:color w:val="000000"/>
                <w:sz w:val="19"/>
              </w:rPr>
              <w:t>0.0692</w:t>
            </w:r>
          </w:p>
        </w:tc>
        <w:tc>
          <w:tcPr>
            <w:tcW w:type="dxa" w:w="2016"/>
          </w:tcPr>
          <w:p>
            <w:pPr>
              <w:spacing w:before="80" w:after="80" w:line="240" w:lineRule="auto"/>
              <w:jc w:val="center"/>
            </w:pPr>
            <w:r>
              <w:rPr>
                <w:b w:val="0"/>
                <w:i w:val="0"/>
                <w:color w:val="000000"/>
                <w:sz w:val="19"/>
              </w:rPr>
              <w:t>0.692</w:t>
            </w:r>
          </w:p>
        </w:tc>
      </w:tr>
      <w:tr>
        <w:tc>
          <w:tcPr>
            <w:tcW w:type="dxa" w:w="4752"/>
          </w:tcPr>
          <w:p>
            <w:pPr>
              <w:spacing w:before="80" w:after="80" w:line="240" w:lineRule="auto"/>
              <w:jc w:val="left"/>
            </w:pPr>
            <w:r>
              <w:rPr>
                <w:b w:val="0"/>
                <w:i w:val="0"/>
                <w:color w:val="000000"/>
                <w:sz w:val="19"/>
              </w:rPr>
              <w:t>TSHR / Cultured fibroblasts</w:t>
            </w:r>
          </w:p>
        </w:tc>
        <w:tc>
          <w:tcPr>
            <w:tcW w:type="dxa" w:w="792"/>
          </w:tcPr>
          <w:p>
            <w:pPr>
              <w:spacing w:before="80" w:after="80" w:line="240" w:lineRule="auto"/>
              <w:jc w:val="center"/>
            </w:pPr>
            <w:r>
              <w:rPr>
                <w:b w:val="0"/>
                <w:i w:val="0"/>
                <w:color w:val="000000"/>
                <w:sz w:val="19"/>
              </w:rPr>
              <w:t>483</w:t>
            </w:r>
          </w:p>
        </w:tc>
        <w:tc>
          <w:tcPr>
            <w:tcW w:type="dxa" w:w="720"/>
          </w:tcPr>
          <w:p>
            <w:pPr>
              <w:spacing w:before="80" w:after="80" w:line="240" w:lineRule="auto"/>
              <w:jc w:val="center"/>
            </w:pPr>
            <w:r>
              <w:rPr>
                <w:b w:val="0"/>
                <w:i w:val="0"/>
                <w:color w:val="000000"/>
                <w:sz w:val="19"/>
              </w:rPr>
              <w:t>0</w:t>
            </w:r>
          </w:p>
        </w:tc>
        <w:tc>
          <w:tcPr>
            <w:tcW w:type="dxa" w:w="2880"/>
          </w:tcPr>
          <w:p>
            <w:pPr>
              <w:spacing w:before="80" w:after="80" w:line="240" w:lineRule="auto"/>
              <w:jc w:val="center"/>
            </w:pPr>
            <w:r>
              <w:rPr>
                <w:b w:val="0"/>
                <w:i w:val="0"/>
                <w:color w:val="000000"/>
                <w:sz w:val="19"/>
              </w:rPr>
              <w:t>Not tested</w:t>
            </w:r>
          </w:p>
        </w:tc>
        <w:tc>
          <w:tcPr>
            <w:tcW w:type="dxa" w:w="1944"/>
          </w:tcPr>
          <w:p>
            <w:pPr>
              <w:spacing w:before="80" w:after="80" w:line="240" w:lineRule="auto"/>
              <w:jc w:val="center"/>
            </w:pPr>
            <w:r>
              <w:rPr>
                <w:b w:val="0"/>
                <w:i w:val="0"/>
                <w:color w:val="000000"/>
                <w:sz w:val="19"/>
              </w:rPr>
              <w:t>—</w:t>
            </w:r>
          </w:p>
        </w:tc>
        <w:tc>
          <w:tcPr>
            <w:tcW w:type="dxa" w:w="2016"/>
          </w:tcPr>
          <w:p>
            <w:pPr>
              <w:spacing w:before="80" w:after="80" w:line="240" w:lineRule="auto"/>
              <w:jc w:val="center"/>
            </w:pPr>
            <w:r>
              <w:rPr>
                <w:b w:val="0"/>
                <w:i w:val="0"/>
                <w:color w:val="000000"/>
                <w:sz w:val="19"/>
              </w:rPr>
              <w:t>—</w:t>
            </w:r>
          </w:p>
        </w:tc>
      </w:tr>
      <w:tr>
        <w:tc>
          <w:tcPr>
            <w:tcW w:type="dxa" w:w="4752"/>
          </w:tcPr>
          <w:p>
            <w:pPr>
              <w:spacing w:before="80" w:after="80" w:line="240" w:lineRule="auto"/>
              <w:jc w:val="left"/>
            </w:pPr>
            <w:r>
              <w:rPr>
                <w:b w:val="0"/>
                <w:i w:val="0"/>
                <w:color w:val="000000"/>
                <w:sz w:val="19"/>
              </w:rPr>
              <w:t>IGF1R / Cultured fibroblasts</w:t>
            </w:r>
          </w:p>
        </w:tc>
        <w:tc>
          <w:tcPr>
            <w:tcW w:type="dxa" w:w="792"/>
          </w:tcPr>
          <w:p>
            <w:pPr>
              <w:spacing w:before="80" w:after="80" w:line="240" w:lineRule="auto"/>
              <w:jc w:val="center"/>
            </w:pPr>
            <w:r>
              <w:rPr>
                <w:b w:val="0"/>
                <w:i w:val="0"/>
                <w:color w:val="000000"/>
                <w:sz w:val="19"/>
              </w:rPr>
              <w:t>483</w:t>
            </w:r>
          </w:p>
        </w:tc>
        <w:tc>
          <w:tcPr>
            <w:tcW w:type="dxa" w:w="720"/>
          </w:tcPr>
          <w:p>
            <w:pPr>
              <w:spacing w:before="80" w:after="80" w:line="240" w:lineRule="auto"/>
              <w:jc w:val="center"/>
            </w:pPr>
            <w:r>
              <w:rPr>
                <w:b w:val="0"/>
                <w:i w:val="0"/>
                <w:color w:val="000000"/>
                <w:sz w:val="19"/>
              </w:rPr>
              <w:t>1</w:t>
            </w:r>
          </w:p>
        </w:tc>
        <w:tc>
          <w:tcPr>
            <w:tcW w:type="dxa" w:w="2880"/>
          </w:tcPr>
          <w:p>
            <w:pPr>
              <w:spacing w:before="80" w:after="80" w:line="240" w:lineRule="auto"/>
              <w:jc w:val="center"/>
            </w:pPr>
            <w:r>
              <w:rPr>
                <w:b w:val="0"/>
                <w:i w:val="0"/>
                <w:color w:val="000000"/>
                <w:sz w:val="19"/>
              </w:rPr>
              <w:t>1.11 (0.89–1.38)</w:t>
            </w:r>
          </w:p>
        </w:tc>
        <w:tc>
          <w:tcPr>
            <w:tcW w:type="dxa" w:w="1944"/>
          </w:tcPr>
          <w:p>
            <w:pPr>
              <w:spacing w:before="80" w:after="80" w:line="240" w:lineRule="auto"/>
              <w:jc w:val="center"/>
            </w:pPr>
            <w:r>
              <w:rPr>
                <w:b w:val="0"/>
                <w:i w:val="0"/>
                <w:color w:val="000000"/>
                <w:sz w:val="19"/>
              </w:rPr>
              <w:t>0.3591</w:t>
            </w:r>
          </w:p>
        </w:tc>
        <w:tc>
          <w:tcPr>
            <w:tcW w:type="dxa" w:w="2016"/>
          </w:tcPr>
          <w:p>
            <w:pPr>
              <w:spacing w:before="80" w:after="80" w:line="240" w:lineRule="auto"/>
              <w:jc w:val="center"/>
            </w:pPr>
            <w:r>
              <w:rPr>
                <w:b w:val="0"/>
                <w:i w:val="0"/>
                <w:color w:val="000000"/>
                <w:sz w:val="19"/>
              </w:rPr>
              <w:t>1.000</w:t>
            </w:r>
          </w:p>
        </w:tc>
      </w:tr>
      <w:tr>
        <w:tc>
          <w:tcPr>
            <w:tcW w:type="dxa" w:w="4752"/>
          </w:tcPr>
          <w:p>
            <w:pPr>
              <w:spacing w:before="80" w:after="80" w:line="240" w:lineRule="auto"/>
              <w:jc w:val="left"/>
            </w:pPr>
            <w:r>
              <w:rPr>
                <w:b w:val="0"/>
                <w:i w:val="0"/>
                <w:color w:val="000000"/>
                <w:sz w:val="19"/>
              </w:rPr>
              <w:t>TSHR / Subcutaneous adipose</w:t>
            </w:r>
          </w:p>
        </w:tc>
        <w:tc>
          <w:tcPr>
            <w:tcW w:type="dxa" w:w="792"/>
          </w:tcPr>
          <w:p>
            <w:pPr>
              <w:spacing w:before="80" w:after="80" w:line="240" w:lineRule="auto"/>
              <w:jc w:val="center"/>
            </w:pPr>
            <w:r>
              <w:rPr>
                <w:b w:val="0"/>
                <w:i w:val="0"/>
                <w:color w:val="000000"/>
                <w:sz w:val="19"/>
              </w:rPr>
              <w:t>581</w:t>
            </w:r>
          </w:p>
        </w:tc>
        <w:tc>
          <w:tcPr>
            <w:tcW w:type="dxa" w:w="720"/>
          </w:tcPr>
          <w:p>
            <w:pPr>
              <w:spacing w:before="80" w:after="80" w:line="240" w:lineRule="auto"/>
              <w:jc w:val="center"/>
            </w:pPr>
            <w:r>
              <w:rPr>
                <w:b w:val="0"/>
                <w:i w:val="0"/>
                <w:color w:val="000000"/>
                <w:sz w:val="19"/>
              </w:rPr>
              <w:t>1</w:t>
            </w:r>
          </w:p>
        </w:tc>
        <w:tc>
          <w:tcPr>
            <w:tcW w:type="dxa" w:w="2880"/>
          </w:tcPr>
          <w:p>
            <w:pPr>
              <w:spacing w:before="80" w:after="80" w:line="240" w:lineRule="auto"/>
              <w:jc w:val="center"/>
            </w:pPr>
            <w:r>
              <w:rPr>
                <w:b w:val="0"/>
                <w:i w:val="0"/>
                <w:color w:val="000000"/>
                <w:sz w:val="19"/>
              </w:rPr>
              <w:t>0.36 (0.31–0.43)</w:t>
            </w:r>
          </w:p>
        </w:tc>
        <w:tc>
          <w:tcPr>
            <w:tcW w:type="dxa" w:w="1944"/>
          </w:tcPr>
          <w:p>
            <w:pPr>
              <w:spacing w:before="80" w:after="80" w:line="240" w:lineRule="auto"/>
              <w:jc w:val="center"/>
            </w:pPr>
            <w:r>
              <w:rPr>
                <w:b w:val="0"/>
                <w:i w:val="0"/>
                <w:color w:val="000000"/>
                <w:sz w:val="19"/>
              </w:rPr>
              <w:t>1.28e-34</w:t>
            </w:r>
          </w:p>
        </w:tc>
        <w:tc>
          <w:tcPr>
            <w:tcW w:type="dxa" w:w="2016"/>
          </w:tcPr>
          <w:p>
            <w:pPr>
              <w:spacing w:before="80" w:after="80" w:line="240" w:lineRule="auto"/>
              <w:jc w:val="center"/>
            </w:pPr>
            <w:r>
              <w:rPr>
                <w:b w:val="0"/>
                <w:i w:val="0"/>
                <w:color w:val="000000"/>
                <w:sz w:val="19"/>
              </w:rPr>
              <w:t>1.28e-33</w:t>
            </w:r>
          </w:p>
        </w:tc>
      </w:tr>
      <w:tr>
        <w:tc>
          <w:tcPr>
            <w:tcW w:type="dxa" w:w="4752"/>
          </w:tcPr>
          <w:p>
            <w:pPr>
              <w:spacing w:before="80" w:after="80" w:line="240" w:lineRule="auto"/>
              <w:jc w:val="left"/>
            </w:pPr>
            <w:r>
              <w:rPr>
                <w:b w:val="0"/>
                <w:i w:val="0"/>
                <w:color w:val="000000"/>
                <w:sz w:val="19"/>
              </w:rPr>
              <w:t>IGF1R / Subcutaneous adipose</w:t>
            </w:r>
          </w:p>
        </w:tc>
        <w:tc>
          <w:tcPr>
            <w:tcW w:type="dxa" w:w="792"/>
          </w:tcPr>
          <w:p>
            <w:pPr>
              <w:spacing w:before="80" w:after="80" w:line="240" w:lineRule="auto"/>
              <w:jc w:val="center"/>
            </w:pPr>
            <w:r>
              <w:rPr>
                <w:b w:val="0"/>
                <w:i w:val="0"/>
                <w:color w:val="000000"/>
                <w:sz w:val="19"/>
              </w:rPr>
              <w:t>581</w:t>
            </w:r>
          </w:p>
        </w:tc>
        <w:tc>
          <w:tcPr>
            <w:tcW w:type="dxa" w:w="720"/>
          </w:tcPr>
          <w:p>
            <w:pPr>
              <w:spacing w:before="80" w:after="80" w:line="240" w:lineRule="auto"/>
              <w:jc w:val="center"/>
            </w:pPr>
            <w:r>
              <w:rPr>
                <w:b w:val="0"/>
                <w:i w:val="0"/>
                <w:color w:val="000000"/>
                <w:sz w:val="19"/>
              </w:rPr>
              <w:t>0</w:t>
            </w:r>
          </w:p>
        </w:tc>
        <w:tc>
          <w:tcPr>
            <w:tcW w:type="dxa" w:w="2880"/>
          </w:tcPr>
          <w:p>
            <w:pPr>
              <w:spacing w:before="80" w:after="80" w:line="240" w:lineRule="auto"/>
              <w:jc w:val="center"/>
            </w:pPr>
            <w:r>
              <w:rPr>
                <w:b w:val="0"/>
                <w:i w:val="0"/>
                <w:color w:val="000000"/>
                <w:sz w:val="19"/>
              </w:rPr>
              <w:t>No qualifying IV</w:t>
            </w:r>
          </w:p>
        </w:tc>
        <w:tc>
          <w:tcPr>
            <w:tcW w:type="dxa" w:w="1944"/>
          </w:tcPr>
          <w:p>
            <w:pPr>
              <w:spacing w:before="80" w:after="80" w:line="240" w:lineRule="auto"/>
              <w:jc w:val="center"/>
            </w:pPr>
            <w:r>
              <w:rPr>
                <w:b w:val="0"/>
                <w:i w:val="0"/>
                <w:color w:val="000000"/>
                <w:sz w:val="19"/>
              </w:rPr>
              <w:t>—</w:t>
            </w:r>
          </w:p>
        </w:tc>
        <w:tc>
          <w:tcPr>
            <w:tcW w:type="dxa" w:w="2016"/>
          </w:tcPr>
          <w:p>
            <w:pPr>
              <w:spacing w:before="80" w:after="80" w:line="240" w:lineRule="auto"/>
              <w:jc w:val="center"/>
            </w:pPr>
            <w:r>
              <w:rPr>
                <w:b w:val="0"/>
                <w:i w:val="0"/>
                <w:color w:val="000000"/>
                <w:sz w:val="19"/>
              </w:rPr>
              <w:t>—</w:t>
            </w:r>
          </w:p>
        </w:tc>
      </w:tr>
      <w:tr>
        <w:tc>
          <w:tcPr>
            <w:tcW w:type="dxa" w:w="4752"/>
          </w:tcPr>
          <w:p>
            <w:pPr>
              <w:spacing w:before="80" w:after="80" w:line="240" w:lineRule="auto"/>
              <w:jc w:val="left"/>
            </w:pPr>
            <w:r>
              <w:rPr>
                <w:b w:val="0"/>
                <w:i w:val="0"/>
                <w:color w:val="000000"/>
                <w:sz w:val="19"/>
              </w:rPr>
              <w:t>TSHR / Visceral adipose</w:t>
            </w:r>
          </w:p>
        </w:tc>
        <w:tc>
          <w:tcPr>
            <w:tcW w:type="dxa" w:w="792"/>
          </w:tcPr>
          <w:p>
            <w:pPr>
              <w:spacing w:before="80" w:after="80" w:line="240" w:lineRule="auto"/>
              <w:jc w:val="center"/>
            </w:pPr>
            <w:r>
              <w:rPr>
                <w:b w:val="0"/>
                <w:i w:val="0"/>
                <w:color w:val="000000"/>
                <w:sz w:val="19"/>
              </w:rPr>
              <w:t>469</w:t>
            </w:r>
          </w:p>
        </w:tc>
        <w:tc>
          <w:tcPr>
            <w:tcW w:type="dxa" w:w="720"/>
          </w:tcPr>
          <w:p>
            <w:pPr>
              <w:spacing w:before="80" w:after="80" w:line="240" w:lineRule="auto"/>
              <w:jc w:val="center"/>
            </w:pPr>
            <w:r>
              <w:rPr>
                <w:b w:val="0"/>
                <w:i w:val="0"/>
                <w:color w:val="000000"/>
                <w:sz w:val="19"/>
              </w:rPr>
              <w:t>1</w:t>
            </w:r>
          </w:p>
        </w:tc>
        <w:tc>
          <w:tcPr>
            <w:tcW w:type="dxa" w:w="2880"/>
          </w:tcPr>
          <w:p>
            <w:pPr>
              <w:spacing w:before="80" w:after="80" w:line="240" w:lineRule="auto"/>
              <w:jc w:val="center"/>
            </w:pPr>
            <w:r>
              <w:rPr>
                <w:b w:val="0"/>
                <w:i w:val="0"/>
                <w:color w:val="000000"/>
                <w:sz w:val="19"/>
              </w:rPr>
              <w:t>0.50 (0.43–0.58)</w:t>
            </w:r>
          </w:p>
        </w:tc>
        <w:tc>
          <w:tcPr>
            <w:tcW w:type="dxa" w:w="1944"/>
          </w:tcPr>
          <w:p>
            <w:pPr>
              <w:spacing w:before="80" w:after="80" w:line="240" w:lineRule="auto"/>
              <w:jc w:val="center"/>
            </w:pPr>
            <w:r>
              <w:rPr>
                <w:b w:val="0"/>
                <w:i w:val="0"/>
                <w:color w:val="000000"/>
                <w:sz w:val="19"/>
              </w:rPr>
              <w:t>4.09e-19</w:t>
            </w:r>
          </w:p>
        </w:tc>
        <w:tc>
          <w:tcPr>
            <w:tcW w:type="dxa" w:w="2016"/>
          </w:tcPr>
          <w:p>
            <w:pPr>
              <w:spacing w:before="80" w:after="80" w:line="240" w:lineRule="auto"/>
              <w:jc w:val="center"/>
            </w:pPr>
            <w:r>
              <w:rPr>
                <w:b w:val="0"/>
                <w:i w:val="0"/>
                <w:color w:val="000000"/>
                <w:sz w:val="19"/>
              </w:rPr>
              <w:t>4.09e-18</w:t>
            </w:r>
          </w:p>
        </w:tc>
      </w:tr>
      <w:tr>
        <w:tc>
          <w:tcPr>
            <w:tcW w:type="dxa" w:w="4752"/>
          </w:tcPr>
          <w:p>
            <w:pPr>
              <w:spacing w:before="80" w:after="80" w:line="240" w:lineRule="auto"/>
              <w:jc w:val="left"/>
            </w:pPr>
            <w:r>
              <w:rPr>
                <w:b w:val="0"/>
                <w:i w:val="0"/>
                <w:color w:val="000000"/>
                <w:sz w:val="19"/>
              </w:rPr>
              <w:t>IGF1R / Visceral adipose</w:t>
            </w:r>
          </w:p>
        </w:tc>
        <w:tc>
          <w:tcPr>
            <w:tcW w:type="dxa" w:w="792"/>
          </w:tcPr>
          <w:p>
            <w:pPr>
              <w:spacing w:before="80" w:after="80" w:line="240" w:lineRule="auto"/>
              <w:jc w:val="center"/>
            </w:pPr>
            <w:r>
              <w:rPr>
                <w:b w:val="0"/>
                <w:i w:val="0"/>
                <w:color w:val="000000"/>
                <w:sz w:val="19"/>
              </w:rPr>
              <w:t>469</w:t>
            </w:r>
          </w:p>
        </w:tc>
        <w:tc>
          <w:tcPr>
            <w:tcW w:type="dxa" w:w="720"/>
          </w:tcPr>
          <w:p>
            <w:pPr>
              <w:spacing w:before="80" w:after="80" w:line="240" w:lineRule="auto"/>
              <w:jc w:val="center"/>
            </w:pPr>
            <w:r>
              <w:rPr>
                <w:b w:val="0"/>
                <w:i w:val="0"/>
                <w:color w:val="000000"/>
                <w:sz w:val="19"/>
              </w:rPr>
              <w:t>0</w:t>
            </w:r>
          </w:p>
        </w:tc>
        <w:tc>
          <w:tcPr>
            <w:tcW w:type="dxa" w:w="2880"/>
          </w:tcPr>
          <w:p>
            <w:pPr>
              <w:spacing w:before="80" w:after="80" w:line="240" w:lineRule="auto"/>
              <w:jc w:val="center"/>
            </w:pPr>
            <w:r>
              <w:rPr>
                <w:b w:val="0"/>
                <w:i w:val="0"/>
                <w:color w:val="000000"/>
                <w:sz w:val="19"/>
              </w:rPr>
              <w:t>No qualifying IV</w:t>
            </w:r>
          </w:p>
        </w:tc>
        <w:tc>
          <w:tcPr>
            <w:tcW w:type="dxa" w:w="1944"/>
          </w:tcPr>
          <w:p>
            <w:pPr>
              <w:spacing w:before="80" w:after="80" w:line="240" w:lineRule="auto"/>
              <w:jc w:val="center"/>
            </w:pPr>
            <w:r>
              <w:rPr>
                <w:b w:val="0"/>
                <w:i w:val="0"/>
                <w:color w:val="000000"/>
                <w:sz w:val="19"/>
              </w:rPr>
              <w:t>—</w:t>
            </w:r>
          </w:p>
        </w:tc>
        <w:tc>
          <w:tcPr>
            <w:tcW w:type="dxa" w:w="2016"/>
          </w:tcPr>
          <w:p>
            <w:pPr>
              <w:spacing w:before="80" w:after="80" w:line="240" w:lineRule="auto"/>
              <w:jc w:val="center"/>
            </w:pPr>
            <w:r>
              <w:rPr>
                <w:b w:val="0"/>
                <w:i w:val="0"/>
                <w:color w:val="000000"/>
                <w:sz w:val="19"/>
              </w:rPr>
              <w:t>—</w:t>
            </w:r>
          </w:p>
        </w:tc>
      </w:tr>
      <w:tr>
        <w:tc>
          <w:tcPr>
            <w:tcW w:type="dxa" w:w="4752"/>
          </w:tcPr>
          <w:p>
            <w:pPr>
              <w:spacing w:before="80" w:after="80" w:line="240" w:lineRule="auto"/>
              <w:jc w:val="left"/>
            </w:pPr>
            <w:r>
              <w:rPr>
                <w:b w:val="0"/>
                <w:i w:val="0"/>
                <w:color w:val="000000"/>
                <w:sz w:val="19"/>
              </w:rPr>
              <w:t>TSHR / Whole blood</w:t>
            </w:r>
          </w:p>
        </w:tc>
        <w:tc>
          <w:tcPr>
            <w:tcW w:type="dxa" w:w="792"/>
          </w:tcPr>
          <w:p>
            <w:pPr>
              <w:spacing w:before="80" w:after="80" w:line="240" w:lineRule="auto"/>
              <w:jc w:val="center"/>
            </w:pPr>
            <w:r>
              <w:rPr>
                <w:b w:val="0"/>
                <w:i w:val="0"/>
                <w:color w:val="000000"/>
                <w:sz w:val="19"/>
              </w:rPr>
              <w:t>670</w:t>
            </w:r>
          </w:p>
        </w:tc>
        <w:tc>
          <w:tcPr>
            <w:tcW w:type="dxa" w:w="720"/>
          </w:tcPr>
          <w:p>
            <w:pPr>
              <w:spacing w:before="80" w:after="80" w:line="240" w:lineRule="auto"/>
              <w:jc w:val="center"/>
            </w:pPr>
            <w:r>
              <w:rPr>
                <w:b w:val="0"/>
                <w:i w:val="0"/>
                <w:color w:val="000000"/>
                <w:sz w:val="19"/>
              </w:rPr>
              <w:t>0</w:t>
            </w:r>
          </w:p>
        </w:tc>
        <w:tc>
          <w:tcPr>
            <w:tcW w:type="dxa" w:w="2880"/>
          </w:tcPr>
          <w:p>
            <w:pPr>
              <w:spacing w:before="80" w:after="80" w:line="240" w:lineRule="auto"/>
              <w:jc w:val="center"/>
            </w:pPr>
            <w:r>
              <w:rPr>
                <w:b w:val="0"/>
                <w:i w:val="0"/>
                <w:color w:val="000000"/>
                <w:sz w:val="19"/>
              </w:rPr>
              <w:t>No qualifying IV</w:t>
            </w:r>
          </w:p>
        </w:tc>
        <w:tc>
          <w:tcPr>
            <w:tcW w:type="dxa" w:w="1944"/>
          </w:tcPr>
          <w:p>
            <w:pPr>
              <w:spacing w:before="80" w:after="80" w:line="240" w:lineRule="auto"/>
              <w:jc w:val="center"/>
            </w:pPr>
            <w:r>
              <w:rPr>
                <w:b w:val="0"/>
                <w:i w:val="0"/>
                <w:color w:val="000000"/>
                <w:sz w:val="19"/>
              </w:rPr>
              <w:t>—</w:t>
            </w:r>
          </w:p>
        </w:tc>
        <w:tc>
          <w:tcPr>
            <w:tcW w:type="dxa" w:w="2016"/>
          </w:tcPr>
          <w:p>
            <w:pPr>
              <w:spacing w:before="80" w:after="80" w:line="240" w:lineRule="auto"/>
              <w:jc w:val="center"/>
            </w:pPr>
            <w:r>
              <w:rPr>
                <w:b w:val="0"/>
                <w:i w:val="0"/>
                <w:color w:val="000000"/>
                <w:sz w:val="19"/>
              </w:rPr>
              <w:t>—</w:t>
            </w:r>
          </w:p>
        </w:tc>
      </w:tr>
      <w:tr>
        <w:tc>
          <w:tcPr>
            <w:tcW w:type="dxa" w:w="4752"/>
          </w:tcPr>
          <w:p>
            <w:pPr>
              <w:spacing w:before="80" w:after="80" w:line="240" w:lineRule="auto"/>
              <w:jc w:val="left"/>
            </w:pPr>
            <w:r>
              <w:rPr>
                <w:b w:val="0"/>
                <w:i w:val="0"/>
                <w:color w:val="000000"/>
                <w:sz w:val="19"/>
              </w:rPr>
              <w:t>IGF1R / Whole blood</w:t>
            </w:r>
          </w:p>
        </w:tc>
        <w:tc>
          <w:tcPr>
            <w:tcW w:type="dxa" w:w="792"/>
          </w:tcPr>
          <w:p>
            <w:pPr>
              <w:spacing w:before="80" w:after="80" w:line="240" w:lineRule="auto"/>
              <w:jc w:val="center"/>
            </w:pPr>
            <w:r>
              <w:rPr>
                <w:b w:val="0"/>
                <w:i w:val="0"/>
                <w:color w:val="000000"/>
                <w:sz w:val="19"/>
              </w:rPr>
              <w:t>670</w:t>
            </w:r>
          </w:p>
        </w:tc>
        <w:tc>
          <w:tcPr>
            <w:tcW w:type="dxa" w:w="720"/>
          </w:tcPr>
          <w:p>
            <w:pPr>
              <w:spacing w:before="80" w:after="80" w:line="240" w:lineRule="auto"/>
              <w:jc w:val="center"/>
            </w:pPr>
            <w:r>
              <w:rPr>
                <w:b w:val="0"/>
                <w:i w:val="0"/>
                <w:color w:val="000000"/>
                <w:sz w:val="19"/>
              </w:rPr>
              <w:t>0</w:t>
            </w:r>
          </w:p>
        </w:tc>
        <w:tc>
          <w:tcPr>
            <w:tcW w:type="dxa" w:w="2880"/>
          </w:tcPr>
          <w:p>
            <w:pPr>
              <w:spacing w:before="80" w:after="80" w:line="240" w:lineRule="auto"/>
              <w:jc w:val="center"/>
            </w:pPr>
            <w:r>
              <w:rPr>
                <w:b w:val="0"/>
                <w:i w:val="0"/>
                <w:color w:val="000000"/>
                <w:sz w:val="19"/>
              </w:rPr>
              <w:t>No qualifying IV</w:t>
            </w:r>
          </w:p>
        </w:tc>
        <w:tc>
          <w:tcPr>
            <w:tcW w:type="dxa" w:w="1944"/>
          </w:tcPr>
          <w:p>
            <w:pPr>
              <w:spacing w:before="80" w:after="80" w:line="240" w:lineRule="auto"/>
              <w:jc w:val="center"/>
            </w:pPr>
            <w:r>
              <w:rPr>
                <w:b w:val="0"/>
                <w:i w:val="0"/>
                <w:color w:val="000000"/>
                <w:sz w:val="19"/>
              </w:rPr>
              <w:t>—</w:t>
            </w:r>
          </w:p>
        </w:tc>
        <w:tc>
          <w:tcPr>
            <w:tcW w:type="dxa" w:w="2016"/>
          </w:tcPr>
          <w:p>
            <w:pPr>
              <w:spacing w:before="80" w:after="80" w:line="240" w:lineRule="auto"/>
              <w:jc w:val="center"/>
            </w:pPr>
            <w:r>
              <w:rPr>
                <w:b w:val="0"/>
                <w:i w:val="0"/>
                <w:color w:val="000000"/>
                <w:sz w:val="19"/>
              </w:rPr>
              <w:t>—</w:t>
            </w:r>
          </w:p>
        </w:tc>
      </w:tr>
    </w:tbl>
    <w:p>
      <w:pPr>
        <w:spacing w:before="160"/>
      </w:pPr>
      <w:r>
        <w:rPr>
          <w:i w:val="0"/>
          <w:color w:val="000000"/>
        </w:rPr>
        <w:t>Table S3. Fixed-panel tissue extension with FinnGen GD as the primary disease dataset. IVs are retained instrumental variants. ORs are per unit of normalized, inverse-normal-transformed expression. Adjusted P = min(1,10P); the ten-comparison denominator includes unestimable cells. Not tested means the gene was absent from the tissue eGenes file; no qualifying IV means the minimum eQTL P did not meet 5×10⁻⁸. All four estimable combinations used one SNP (F 32.1–61.1). The 40 secondary comparisons use a separate denominator of 40 and are retained, with all source statistics, in Tissue_extension. Cultured fibroblasts and adipose tissues are not orbital tissue. Original detection benchmarks remain in Detection_original.</w:t>
      </w:r>
    </w:p>
    <w:p>
      <w:r>
        <w:br w:type="page"/>
      </w:r>
    </w:p>
    <w:p>
      <w:pPr>
        <w:pStyle w:val="Heading1"/>
      </w:pPr>
      <w:r>
        <w:t>Figure S1</w:t>
      </w:r>
    </w:p>
    <w:p>
      <w:r>
        <w:drawing>
          <wp:inline xmlns:a="http://schemas.openxmlformats.org/drawingml/2006/main" xmlns:pic="http://schemas.openxmlformats.org/drawingml/2006/picture">
            <wp:extent cx="8412480" cy="3905794"/>
            <wp:docPr id="1" name="Picture 1"/>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8412480" cy="3905794"/>
                    </a:xfrm>
                    <a:prstGeom prst="rect"/>
                  </pic:spPr>
                </pic:pic>
              </a:graphicData>
            </a:graphic>
          </wp:inline>
        </w:drawing>
      </w:r>
    </w:p>
    <w:p>
      <w:r>
        <w:rPr>
          <w:b/>
          <w:i w:val="0"/>
        </w:rPr>
        <w:t>Figure S1. Descriptive orbital expression.</w:t>
      </w:r>
      <w:r>
        <w:rPr>
          <w:b w:val="0"/>
          <w:i w:val="0"/>
        </w:rPr>
        <w:t xml:space="preserve"> Previously reviewed sample-level transcript abundance for TSHR, IGF1R and CTLA4 in four TED patients and one control. Points are biological samples; horizontal lines show TED means. Fold changes use log2[(mean TED TPM + 0.01)/(control TPM + 0.01)]. Axes differ by gene. No inferential expression test was performed; these observations do not validate the genetic findings. The figure is unchanged from the earlier review package.</w:t>
      </w:r>
    </w:p>
    <w:p>
      <w:r>
        <w:br w:type="page"/>
      </w:r>
    </w:p>
    <w:p>
      <w:pPr>
        <w:pStyle w:val="Heading1"/>
      </w:pPr>
      <w:r>
        <w:t>Figure S2</w:t>
      </w:r>
    </w:p>
    <w:p>
      <w:r>
        <w:drawing>
          <wp:inline xmlns:a="http://schemas.openxmlformats.org/drawingml/2006/main" xmlns:pic="http://schemas.openxmlformats.org/drawingml/2006/picture">
            <wp:extent cx="6098011" cy="4754880"/>
            <wp:docPr id="2" name="Picture 2"/>
            <wp:cNvGraphicFramePr>
              <a:graphicFrameLocks noChangeAspect="1"/>
            </wp:cNvGraphicFramePr>
            <a:graphic>
              <a:graphicData uri="http://schemas.openxmlformats.org/drawingml/2006/picture">
                <pic:pic>
                  <pic:nvPicPr>
                    <pic:cNvPr id="0" name="FigureS2.png"/>
                    <pic:cNvPicPr/>
                  </pic:nvPicPr>
                  <pic:blipFill>
                    <a:blip r:embed="rId11"/>
                    <a:stretch>
                      <a:fillRect/>
                    </a:stretch>
                  </pic:blipFill>
                  <pic:spPr>
                    <a:xfrm>
                      <a:off x="0" y="0"/>
                      <a:ext cx="6098011" cy="4754880"/>
                    </a:xfrm>
                    <a:prstGeom prst="rect"/>
                  </pic:spPr>
                </pic:pic>
              </a:graphicData>
            </a:graphic>
          </wp:inline>
        </w:drawing>
      </w:r>
    </w:p>
    <w:p>
      <w:r>
        <w:rPr>
          <w:b/>
          <w:i w:val="0"/>
        </w:rPr>
        <w:t>Figure S2. Instrument-omission sensitivity.</w:t>
      </w:r>
      <w:r>
        <w:rPr>
          <w:b w:val="0"/>
          <w:i w:val="0"/>
        </w:rPr>
        <w:t xml:space="preserve"> Twenty-five reference-frequency SNP-omission estimates for IGF1R and CTLA4 across the five datasets. The named SNP is omitted; Wald ratios apply when one remains and IVW when at least two remain. Horizontal lines show 95% CIs; the vertical reference is OR = 1. Bold P values mark nominal P &lt; 0.05 only. Original full-set estimates are in Table 2. TSHR and BBJ CTLA4 were ineligible because each has one instrument. These correlated post hoc diagnostics are not independent replication.</w:t>
      </w:r>
    </w:p>
    <w:sectPr w:rsidR="00FC693F" w:rsidRPr="0006063C" w:rsidSect="00034616">
      <w:pgSz w:w="15840" w:h="12240" w:orient="landscape"/>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24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00" w:lineRule="auto"/>
    </w:pPr>
    <w:rPr>
      <w:rFonts w:ascii="Times New Roman" w:hAnsi="Times New Roman"/>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subject/>
  <dc:creator>Jungyul Park and colleagues</dc:creator>
  <cp:keywords/>
  <dc:description>generated by python-docx</dc:description>
  <cp:lastModifiedBy/>
  <cp:revision>1</cp:revision>
  <dcterms:created xsi:type="dcterms:W3CDTF">2013-12-23T23:15:00Z</dcterms:created>
  <dcterms:modified xsi:type="dcterms:W3CDTF">2013-12-23T23:15:00Z</dcterms:modified>
  <cp:category/>
</cp:coreProperties>
</file>