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1. Data sources</w:t>
      </w:r>
    </w:p>
    <w:tbl>
      <w:tblPr>
        <w:tblW w:type="auto" w:w="0"/>
        <w:tblLayout w:type="fixed"/>
        <w:tblLook w:firstColumn="1" w:firstRow="1" w:lastColumn="0" w:lastRow="0" w:noHBand="0" w:noVBand="1" w:val="04A0"/>
      </w:tblPr>
      <w:tblGrid>
        <w:gridCol w:w="5184"/>
        <w:gridCol w:w="1152"/>
        <w:gridCol w:w="1296"/>
        <w:gridCol w:w="6048"/>
      </w:tblGrid>
      <w:tr>
        <w:trPr>
          <w:tblHeader/>
          <w:cantSplit/>
        </w:trPr>
        <w:tc>
          <w:tcPr>
            <w:tcW w:type="dxa" w:w="5184"/>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Dataset / endpoint</w:t>
            </w:r>
          </w:p>
        </w:tc>
        <w:tc>
          <w:tcPr>
            <w:tcW w:type="dxa" w:w="1152"/>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Cases</w:t>
            </w:r>
          </w:p>
        </w:tc>
        <w:tc>
          <w:tcPr>
            <w:tcW w:type="dxa" w:w="1296"/>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Controls</w:t>
            </w:r>
          </w:p>
        </w:tc>
        <w:tc>
          <w:tcPr>
            <w:tcW w:type="dxa" w:w="6048"/>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Exposure or clinical role</w:t>
            </w:r>
          </w:p>
        </w:tc>
      </w:tr>
      <w:tr>
        <w:trPr>
          <w:cantSplit/>
        </w:trPr>
        <w:tc>
          <w:tcPr>
            <w:tcW w:type="dxa" w:w="51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eQTLGen blood expression</w:t>
            </w:r>
          </w:p>
        </w:tc>
        <w:tc>
          <w:tcPr>
            <w:tcW w:type="dxa" w:w="115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w:t>
            </w:r>
          </w:p>
        </w:tc>
        <w:tc>
          <w:tcPr>
            <w:tcW w:type="dxa" w:w="129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w:t>
            </w:r>
          </w:p>
        </w:tc>
        <w:tc>
          <w:tcPr>
            <w:tcW w:type="dxa" w:w="60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Exposure: up to 31,684; predominantly European</w:t>
            </w:r>
          </w:p>
        </w:tc>
      </w:tr>
      <w:tr>
        <w:trPr>
          <w:cantSplit/>
        </w:trPr>
        <w:tc>
          <w:tcPr>
            <w:tcW w:type="dxa" w:w="51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BBJ GD (GCST90018627)</w:t>
            </w:r>
          </w:p>
        </w:tc>
        <w:tc>
          <w:tcPr>
            <w:tcW w:type="dxa" w:w="115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2,809</w:t>
            </w:r>
          </w:p>
        </w:tc>
        <w:tc>
          <w:tcPr>
            <w:tcW w:type="dxa" w:w="129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172,656</w:t>
            </w:r>
          </w:p>
        </w:tc>
        <w:tc>
          <w:tcPr>
            <w:tcW w:type="dxa" w:w="60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Discovery; East Asian</w:t>
            </w:r>
          </w:p>
        </w:tc>
      </w:tr>
      <w:tr>
        <w:trPr>
          <w:cantSplit/>
        </w:trPr>
        <w:tc>
          <w:tcPr>
            <w:tcW w:type="dxa" w:w="51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FinnGen GD (E4_GRAVES_STRICT)</w:t>
            </w:r>
          </w:p>
        </w:tc>
        <w:tc>
          <w:tcPr>
            <w:tcW w:type="dxa" w:w="115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3,962</w:t>
            </w:r>
          </w:p>
        </w:tc>
        <w:tc>
          <w:tcPr>
            <w:tcW w:type="dxa" w:w="129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496,386</w:t>
            </w:r>
          </w:p>
        </w:tc>
        <w:tc>
          <w:tcPr>
            <w:tcW w:type="dxa" w:w="60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Post hoc GD comparison; Finnish</w:t>
            </w:r>
          </w:p>
        </w:tc>
      </w:tr>
      <w:tr>
        <w:trPr>
          <w:cantSplit/>
        </w:trPr>
        <w:tc>
          <w:tcPr>
            <w:tcW w:type="dxa" w:w="51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UKB hyperthyroidism (GCST90038636)</w:t>
            </w:r>
          </w:p>
        </w:tc>
        <w:tc>
          <w:tcPr>
            <w:tcW w:type="dxa" w:w="115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3,731</w:t>
            </w:r>
          </w:p>
        </w:tc>
        <w:tc>
          <w:tcPr>
            <w:tcW w:type="dxa" w:w="129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480,867</w:t>
            </w:r>
          </w:p>
        </w:tc>
        <w:tc>
          <w:tcPr>
            <w:tcW w:type="dxa" w:w="60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Self-report; ancestry not established as exclusively European</w:t>
            </w:r>
          </w:p>
        </w:tc>
      </w:tr>
      <w:tr>
        <w:trPr>
          <w:cantSplit/>
        </w:trPr>
        <w:tc>
          <w:tcPr>
            <w:tcW w:type="dxa" w:w="51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FinnGen GO (GRAVES_OPHT)</w:t>
            </w:r>
          </w:p>
        </w:tc>
        <w:tc>
          <w:tcPr>
            <w:tcW w:type="dxa" w:w="115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858</w:t>
            </w:r>
          </w:p>
        </w:tc>
        <w:tc>
          <w:tcPr>
            <w:tcW w:type="dxa" w:w="129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499,490</w:t>
            </w:r>
          </w:p>
        </w:tc>
        <w:tc>
          <w:tcPr>
            <w:tcW w:type="dxa" w:w="60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Original ophthalmopathy comparison; Finnish</w:t>
            </w:r>
          </w:p>
        </w:tc>
      </w:tr>
      <w:tr>
        <w:trPr>
          <w:cantSplit/>
        </w:trPr>
        <w:tc>
          <w:tcPr>
            <w:tcW w:type="dxa" w:w="51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FinnGen GO strict (E4_GRAVES_OPHT_STRICT)</w:t>
            </w:r>
          </w:p>
        </w:tc>
        <w:tc>
          <w:tcPr>
            <w:tcW w:type="dxa" w:w="115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753</w:t>
            </w:r>
          </w:p>
        </w:tc>
        <w:tc>
          <w:tcPr>
            <w:tcW w:type="dxa" w:w="129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499,595</w:t>
            </w:r>
          </w:p>
        </w:tc>
        <w:tc>
          <w:tcPr>
            <w:tcW w:type="dxa" w:w="60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Post hoc definition sensitivity; Finnish</w:t>
            </w:r>
          </w:p>
        </w:tc>
      </w:tr>
    </w:tbl>
    <w:p>
      <w:pPr>
        <w:spacing w:before="160"/>
      </w:pPr>
      <w:r>
        <w:rPr>
          <w:sz w:val="18"/>
        </w:rPr>
        <w:t>GD, Graves disease; GO, Graves ophthalmopathy; HT, hyperthyroidism/thyrotoxicosis. The three FinnGen R12 endpoints overlap and use population non-cases for their respective definitions. Strict is the source endpoint label, not proof of perfect specificity. The descriptive orbital series (four TED patients, one control) is separate from the genetic datasets.</w:t>
      </w:r>
    </w:p>
    <w:p>
      <w:r>
        <w:br w:type="page"/>
      </w:r>
    </w:p>
    <w:p>
      <w:pPr>
        <w:pStyle w:val="Heading1"/>
      </w:pPr>
      <w:r>
        <w:t>Table 2. TSHR, IGF1R and CTLA4 across five disease datasets</w:t>
      </w:r>
    </w:p>
    <w:tbl>
      <w:tblPr>
        <w:tblW w:type="auto" w:w="0"/>
        <w:tblLayout w:type="fixed"/>
        <w:tblLook w:firstColumn="1" w:firstRow="1" w:lastColumn="0" w:lastRow="0" w:noHBand="0" w:noVBand="1" w:val="04A0"/>
      </w:tblPr>
      <w:tblGrid>
        <w:gridCol w:w="1008"/>
        <w:gridCol w:w="2448"/>
        <w:gridCol w:w="576"/>
        <w:gridCol w:w="2880"/>
        <w:gridCol w:w="2448"/>
        <w:gridCol w:w="1440"/>
        <w:gridCol w:w="2880"/>
      </w:tblGrid>
      <w:tr>
        <w:trPr>
          <w:tblHeader/>
          <w:cantSplit/>
        </w:trPr>
        <w:tc>
          <w:tcPr>
            <w:tcW w:type="dxa" w:w="1008"/>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Gene</w:t>
            </w:r>
          </w:p>
        </w:tc>
        <w:tc>
          <w:tcPr>
            <w:tcW w:type="dxa" w:w="2448"/>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Dataset</w:t>
            </w:r>
          </w:p>
        </w:tc>
        <w:tc>
          <w:tcPr>
            <w:tcW w:type="dxa" w:w="576"/>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IVs</w:t>
            </w:r>
          </w:p>
        </w:tc>
        <w:tc>
          <w:tcPr>
            <w:tcW w:type="dxa" w:w="2880"/>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OR (95% CI)</w:t>
            </w:r>
          </w:p>
        </w:tc>
        <w:tc>
          <w:tcPr>
            <w:tcW w:type="dxa" w:w="2448"/>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P value</w:t>
            </w:r>
          </w:p>
        </w:tc>
        <w:tc>
          <w:tcPr>
            <w:tcW w:type="dxa" w:w="1440"/>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PP.H3</w:t>
            </w:r>
          </w:p>
        </w:tc>
        <w:tc>
          <w:tcPr>
            <w:tcW w:type="dxa" w:w="2880"/>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PP.H4</w:t>
            </w:r>
          </w:p>
        </w:tc>
      </w:tr>
      <w:tr>
        <w:trPr>
          <w:cantSplit/>
        </w:trPr>
        <w:tc>
          <w:tcPr>
            <w:tcW w:type="dxa" w:w="100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TSHR</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BBJ GD</w:t>
            </w:r>
          </w:p>
        </w:tc>
        <w:tc>
          <w:tcPr>
            <w:tcW w:type="dxa" w:w="57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0.12 (0.07–0.21)</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1.09×10⁻¹⁴</w:t>
            </w:r>
          </w:p>
        </w:tc>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0.049</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color w:val="000000"/>
                <w:sz w:val="19"/>
              </w:rPr>
              <w:t>0.951</w:t>
            </w:r>
          </w:p>
        </w:tc>
      </w:tr>
      <w:tr>
        <w:trPr>
          <w:cantSplit/>
        </w:trPr>
        <w:tc>
          <w:tcPr>
            <w:tcW w:type="dxa" w:w="100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TSHR</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FinnGen GD</w:t>
            </w:r>
          </w:p>
        </w:tc>
        <w:tc>
          <w:tcPr>
            <w:tcW w:type="dxa" w:w="57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0.08 (0.05–0.12)</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3.19×10⁻³²</w:t>
            </w:r>
          </w:p>
        </w:tc>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0.736</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0.264</w:t>
            </w:r>
          </w:p>
        </w:tc>
      </w:tr>
      <w:tr>
        <w:trPr>
          <w:cantSplit/>
        </w:trPr>
        <w:tc>
          <w:tcPr>
            <w:tcW w:type="dxa" w:w="100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TSHR</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UKB HT</w:t>
            </w:r>
          </w:p>
        </w:tc>
        <w:tc>
          <w:tcPr>
            <w:tcW w:type="dxa" w:w="57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0.09 (0.06–0.14)</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8.77×10⁻²⁸</w:t>
            </w:r>
          </w:p>
        </w:tc>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0.774</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0.226</w:t>
            </w:r>
          </w:p>
        </w:tc>
      </w:tr>
      <w:tr>
        <w:trPr>
          <w:cantSplit/>
        </w:trPr>
        <w:tc>
          <w:tcPr>
            <w:tcW w:type="dxa" w:w="100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TSHR</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FinnGen GO</w:t>
            </w:r>
          </w:p>
        </w:tc>
        <w:tc>
          <w:tcPr>
            <w:tcW w:type="dxa" w:w="57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0.10 (0.04–0.24)</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2.82×10⁻⁷</w:t>
            </w:r>
          </w:p>
        </w:tc>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0.014</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color w:val="000000"/>
                <w:sz w:val="19"/>
              </w:rPr>
              <w:t>0.986</w:t>
            </w:r>
          </w:p>
        </w:tc>
      </w:tr>
      <w:tr>
        <w:trPr>
          <w:cantSplit/>
        </w:trPr>
        <w:tc>
          <w:tcPr>
            <w:tcW w:type="dxa" w:w="100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TSHR</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FinnGen GO strict</w:t>
            </w:r>
          </w:p>
        </w:tc>
        <w:tc>
          <w:tcPr>
            <w:tcW w:type="dxa" w:w="57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0.15 (0.06–0.39)</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9.02×10⁻⁵</w:t>
            </w:r>
          </w:p>
        </w:tc>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0.082</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color w:val="000000"/>
                <w:sz w:val="19"/>
              </w:rPr>
              <w:t>0.891</w:t>
            </w:r>
          </w:p>
        </w:tc>
      </w:tr>
      <w:tr>
        <w:trPr>
          <w:cantSplit/>
        </w:trPr>
        <w:tc>
          <w:tcPr>
            <w:tcW w:type="dxa" w:w="100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IGF1R</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BBJ GD</w:t>
            </w:r>
          </w:p>
        </w:tc>
        <w:tc>
          <w:tcPr>
            <w:tcW w:type="dxa" w:w="57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4</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1.56 (1.07–2.28)</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0.0212</w:t>
            </w:r>
          </w:p>
        </w:tc>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0.236</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0.073</w:t>
            </w:r>
          </w:p>
        </w:tc>
      </w:tr>
      <w:tr>
        <w:trPr>
          <w:cantSplit/>
        </w:trPr>
        <w:tc>
          <w:tcPr>
            <w:tcW w:type="dxa" w:w="100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IGF1R</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FinnGen GD</w:t>
            </w:r>
          </w:p>
        </w:tc>
        <w:tc>
          <w:tcPr>
            <w:tcW w:type="dxa" w:w="57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3</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1.07 (0.86–1.33)</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0.539</w:t>
            </w:r>
          </w:p>
        </w:tc>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0.259</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0.010</w:t>
            </w:r>
          </w:p>
        </w:tc>
      </w:tr>
      <w:tr>
        <w:trPr>
          <w:cantSplit/>
        </w:trPr>
        <w:tc>
          <w:tcPr>
            <w:tcW w:type="dxa" w:w="100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IGF1R</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UKB HT</w:t>
            </w:r>
          </w:p>
        </w:tc>
        <w:tc>
          <w:tcPr>
            <w:tcW w:type="dxa" w:w="57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4</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1.35 (1.07–1.70)</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0.0117</w:t>
            </w:r>
          </w:p>
        </w:tc>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0.196</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0.404</w:t>
            </w:r>
          </w:p>
        </w:tc>
      </w:tr>
      <w:tr>
        <w:trPr>
          <w:cantSplit/>
        </w:trPr>
        <w:tc>
          <w:tcPr>
            <w:tcW w:type="dxa" w:w="100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IGF1R</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FinnGen GO</w:t>
            </w:r>
          </w:p>
        </w:tc>
        <w:tc>
          <w:tcPr>
            <w:tcW w:type="dxa" w:w="57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3</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1.41 (0.85–2.33)</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0.182</w:t>
            </w:r>
          </w:p>
        </w:tc>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0.346</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0.032</w:t>
            </w:r>
          </w:p>
        </w:tc>
      </w:tr>
      <w:tr>
        <w:trPr>
          <w:cantSplit/>
        </w:trPr>
        <w:tc>
          <w:tcPr>
            <w:tcW w:type="dxa" w:w="100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IGF1R</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FinnGen GO strict</w:t>
            </w:r>
          </w:p>
        </w:tc>
        <w:tc>
          <w:tcPr>
            <w:tcW w:type="dxa" w:w="57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3</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1.52 (0.92–2.49)</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0.0996</w:t>
            </w:r>
          </w:p>
        </w:tc>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0.391</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0.038</w:t>
            </w:r>
          </w:p>
        </w:tc>
      </w:tr>
      <w:tr>
        <w:trPr>
          <w:cantSplit/>
        </w:trPr>
        <w:tc>
          <w:tcPr>
            <w:tcW w:type="dxa" w:w="100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CTLA4</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BBJ GD</w:t>
            </w:r>
          </w:p>
        </w:tc>
        <w:tc>
          <w:tcPr>
            <w:tcW w:type="dxa" w:w="57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0.18 (0.11–0.27)</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5.45×10⁻¹⁵</w:t>
            </w:r>
          </w:p>
        </w:tc>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0.799</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0.201</w:t>
            </w:r>
          </w:p>
        </w:tc>
      </w:tr>
      <w:tr>
        <w:trPr>
          <w:cantSplit/>
        </w:trPr>
        <w:tc>
          <w:tcPr>
            <w:tcW w:type="dxa" w:w="100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CTLA4</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FinnGen GD</w:t>
            </w:r>
          </w:p>
        </w:tc>
        <w:tc>
          <w:tcPr>
            <w:tcW w:type="dxa" w:w="57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2</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0.17 (0.08–0.36)</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2.15×10⁻⁶</w:t>
            </w:r>
          </w:p>
        </w:tc>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0.746</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0.254</w:t>
            </w:r>
          </w:p>
        </w:tc>
      </w:tr>
      <w:tr>
        <w:trPr>
          <w:cantSplit/>
        </w:trPr>
        <w:tc>
          <w:tcPr>
            <w:tcW w:type="dxa" w:w="100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CTLA4</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UKB HT</w:t>
            </w:r>
          </w:p>
        </w:tc>
        <w:tc>
          <w:tcPr>
            <w:tcW w:type="dxa" w:w="57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2</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0.21 (0.08–0.57)</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0.0022</w:t>
            </w:r>
          </w:p>
        </w:tc>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0.047</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color w:val="000000"/>
                <w:sz w:val="19"/>
              </w:rPr>
              <w:t>0.953</w:t>
            </w:r>
          </w:p>
        </w:tc>
      </w:tr>
      <w:tr>
        <w:trPr>
          <w:cantSplit/>
        </w:trPr>
        <w:tc>
          <w:tcPr>
            <w:tcW w:type="dxa" w:w="100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CTLA4</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FinnGen GO</w:t>
            </w:r>
          </w:p>
        </w:tc>
        <w:tc>
          <w:tcPr>
            <w:tcW w:type="dxa" w:w="57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2</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0.17 (0.04–0.68)</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0.0118</w:t>
            </w:r>
          </w:p>
        </w:tc>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0.022</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color w:val="000000"/>
                <w:sz w:val="19"/>
              </w:rPr>
              <w:t>0.978</w:t>
            </w:r>
          </w:p>
        </w:tc>
      </w:tr>
      <w:tr>
        <w:trPr>
          <w:cantSplit/>
        </w:trPr>
        <w:tc>
          <w:tcPr>
            <w:tcW w:type="dxa" w:w="100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CTLA4</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FinnGen GO strict</w:t>
            </w:r>
          </w:p>
        </w:tc>
        <w:tc>
          <w:tcPr>
            <w:tcW w:type="dxa" w:w="57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2</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0.17 (0.05–0.64)</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0.00888</w:t>
            </w:r>
          </w:p>
        </w:tc>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0.021</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color w:val="000000"/>
                <w:sz w:val="19"/>
              </w:rPr>
              <w:t>0.979</w:t>
            </w:r>
          </w:p>
        </w:tc>
      </w:tr>
    </w:tbl>
    <w:p>
      <w:pPr>
        <w:spacing w:before="160"/>
      </w:pPr>
      <w:r>
        <w:rPr>
          <w:sz w:val="18"/>
        </w:rPr>
        <w:t>IVs, instrumental variables (retained genetic variants). Wald ratio for one IV; random-effects IVW for multiple IVs. ORs are per approximately one SD higher reconstructed blood expression. Bold P values denote nominal P &lt; 0.05 only. Discovery uses 0.05/2,544. PP.H3 supports distinct variants; PP.H4 supports one shared variant. Bold PP.H4 denotes ≥0.80 under p12 = 10⁻⁵. These are probabilities, not P values. CTLA4 multi-IV results are concentrated in rs13030124; TSHR is single-IV in all datasets.</w:t>
      </w:r>
    </w:p>
    <w:p>
      <w:r>
        <w:br w:type="page"/>
      </w:r>
    </w:p>
    <w:p>
      <w:pPr>
        <w:pStyle w:val="Heading1"/>
      </w:pPr>
      <w:r>
        <w:t>Table 3. Screen and supporting analyses — A</w:t>
      </w:r>
    </w:p>
    <w:tbl>
      <w:tblPr>
        <w:tblW w:type="auto" w:w="0"/>
        <w:tblLayout w:type="fixed"/>
        <w:tblLook w:firstColumn="1" w:firstRow="1" w:lastColumn="0" w:lastRow="0" w:noHBand="0" w:noVBand="1" w:val="04A0"/>
      </w:tblPr>
      <w:tblGrid>
        <w:gridCol w:w="1440"/>
        <w:gridCol w:w="2160"/>
        <w:gridCol w:w="1728"/>
        <w:gridCol w:w="2304"/>
        <w:gridCol w:w="1872"/>
        <w:gridCol w:w="1728"/>
        <w:gridCol w:w="1584"/>
      </w:tblGrid>
      <w:tr>
        <w:trPr>
          <w:tblHeader/>
          <w:cantSplit/>
        </w:trPr>
        <w:tc>
          <w:tcPr>
            <w:tcW w:type="dxa" w:w="1440"/>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BBJ discovery gene</w:t>
            </w:r>
          </w:p>
        </w:tc>
        <w:tc>
          <w:tcPr>
            <w:tcW w:type="dxa" w:w="2160"/>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BBJ OR (95% CI)</w:t>
            </w:r>
          </w:p>
        </w:tc>
        <w:tc>
          <w:tcPr>
            <w:tcW w:type="dxa" w:w="1728"/>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BBJ P</w:t>
            </w:r>
          </w:p>
        </w:tc>
        <w:tc>
          <w:tcPr>
            <w:tcW w:type="dxa" w:w="2304"/>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FinnGen GD OR (95% CI)</w:t>
            </w:r>
          </w:p>
        </w:tc>
        <w:tc>
          <w:tcPr>
            <w:tcW w:type="dxa" w:w="1872"/>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FinnGen GD P</w:t>
            </w:r>
          </w:p>
        </w:tc>
        <w:tc>
          <w:tcPr>
            <w:tcW w:type="dxa" w:w="1728"/>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Focused support</w:t>
            </w:r>
          </w:p>
        </w:tc>
        <w:tc>
          <w:tcPr>
            <w:tcW w:type="dxa" w:w="1584"/>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GD PP.H4</w:t>
            </w:r>
          </w:p>
        </w:tc>
      </w:tr>
      <w:tr>
        <w:trPr>
          <w:cantSplit/>
        </w:trPr>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HLA-A</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1.98 (1.73–2.27)</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color w:val="000000"/>
                <w:sz w:val="19"/>
              </w:rPr>
              <w:t>2.60×10⁻²³</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1.08 (0.77–1.53)</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0.648</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No</w:t>
            </w:r>
          </w:p>
        </w:tc>
        <w:tc>
          <w:tcPr>
            <w:tcW w:type="dxa" w:w="15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r>
      <w:tr>
        <w:trPr>
          <w:cantSplit/>
        </w:trPr>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HLA-DQA2</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2.39 (1.95–2.93)</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color w:val="000000"/>
                <w:sz w:val="19"/>
              </w:rPr>
              <w:t>8.30×10⁻¹⁷</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1.90 (1.64–2.20)</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color w:val="000000"/>
                <w:sz w:val="19"/>
              </w:rPr>
              <w:t>1.41×10⁻¹⁷</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Yes</w:t>
            </w:r>
          </w:p>
        </w:tc>
        <w:tc>
          <w:tcPr>
            <w:tcW w:type="dxa" w:w="15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r>
      <w:tr>
        <w:trPr>
          <w:cantSplit/>
        </w:trPr>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CTLA4</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0.18 (0.11–0.27)</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color w:val="000000"/>
                <w:sz w:val="19"/>
              </w:rPr>
              <w:t>5.45×10⁻¹⁵</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0.17 (0.08–0.36)</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color w:val="000000"/>
                <w:sz w:val="19"/>
              </w:rPr>
              <w:t>2.15×10⁻⁶</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Yes</w:t>
            </w:r>
          </w:p>
        </w:tc>
        <w:tc>
          <w:tcPr>
            <w:tcW w:type="dxa" w:w="15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0.254</w:t>
            </w:r>
          </w:p>
        </w:tc>
      </w:tr>
      <w:tr>
        <w:trPr>
          <w:cantSplit/>
        </w:trPr>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TSHR</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0.12 (0.07–0.21)</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color w:val="000000"/>
                <w:sz w:val="19"/>
              </w:rPr>
              <w:t>1.09×10⁻¹⁴</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0.08 (0.05–0.12)</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color w:val="000000"/>
                <w:sz w:val="19"/>
              </w:rPr>
              <w:t>3.19×10⁻³²</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Yes</w:t>
            </w:r>
          </w:p>
        </w:tc>
        <w:tc>
          <w:tcPr>
            <w:tcW w:type="dxa" w:w="15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0.264</w:t>
            </w:r>
          </w:p>
        </w:tc>
      </w:tr>
      <w:tr>
        <w:trPr>
          <w:cantSplit/>
        </w:trPr>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C4A</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0.45 (0.35–0.57)</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color w:val="000000"/>
                <w:sz w:val="19"/>
              </w:rPr>
              <w:t>2.23×10⁻¹⁰</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0.41 (0.26–0.63)</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color w:val="000000"/>
                <w:sz w:val="19"/>
              </w:rPr>
              <w:t>4.97×10⁻⁵</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Yes</w:t>
            </w:r>
          </w:p>
        </w:tc>
        <w:tc>
          <w:tcPr>
            <w:tcW w:type="dxa" w:w="15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r>
      <w:tr>
        <w:trPr>
          <w:cantSplit/>
        </w:trPr>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HSD3B7</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0.29 (0.18–0.47)</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color w:val="000000"/>
                <w:sz w:val="19"/>
              </w:rPr>
              <w:t>2.04×10⁻⁷</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0.90 (0.72–1.13)</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0.372</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No</w:t>
            </w:r>
          </w:p>
        </w:tc>
        <w:tc>
          <w:tcPr>
            <w:tcW w:type="dxa" w:w="15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0.011</w:t>
            </w:r>
          </w:p>
        </w:tc>
      </w:tr>
      <w:tr>
        <w:trPr>
          <w:cantSplit/>
        </w:trPr>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TUBB</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1.49 (1.28–1.74)</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color w:val="000000"/>
                <w:sz w:val="19"/>
              </w:rPr>
              <w:t>3.14×10⁻⁷</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3.28 (2.09–5.17)</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color w:val="000000"/>
                <w:sz w:val="19"/>
              </w:rPr>
              <w:t>2.68×10⁻⁷</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Yes</w:t>
            </w:r>
          </w:p>
        </w:tc>
        <w:tc>
          <w:tcPr>
            <w:tcW w:type="dxa" w:w="15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r>
      <w:tr>
        <w:trPr>
          <w:cantSplit/>
        </w:trPr>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VKORC1</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0.13 (0.06–0.29)</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color w:val="000000"/>
                <w:sz w:val="19"/>
              </w:rPr>
              <w:t>6.35×10⁻⁷</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NA</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NA</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NA</w:t>
            </w:r>
          </w:p>
        </w:tc>
        <w:tc>
          <w:tcPr>
            <w:tcW w:type="dxa" w:w="15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0.011</w:t>
            </w:r>
          </w:p>
        </w:tc>
      </w:tr>
      <w:tr>
        <w:trPr>
          <w:cantSplit/>
        </w:trPr>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TNFSF14</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0.63 (0.52–0.76)</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color w:val="000000"/>
                <w:sz w:val="19"/>
              </w:rPr>
              <w:t>1.48×10⁻⁶</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0.77 (0.65–0.92)</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color w:val="000000"/>
                <w:sz w:val="19"/>
              </w:rPr>
              <w:t>0.00361</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Yes</w:t>
            </w:r>
          </w:p>
        </w:tc>
        <w:tc>
          <w:tcPr>
            <w:tcW w:type="dxa" w:w="15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0.303</w:t>
            </w:r>
          </w:p>
        </w:tc>
      </w:tr>
      <w:tr>
        <w:trPr>
          <w:cantSplit/>
        </w:trPr>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PRSS36</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6.00 (2.87–12.57)</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color w:val="000000"/>
                <w:sz w:val="19"/>
              </w:rPr>
              <w:t>2.02×10⁻⁶</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1.40 (1.00–1.96)</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color w:val="000000"/>
                <w:sz w:val="19"/>
              </w:rPr>
              <w:t>0.049</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No</w:t>
            </w:r>
          </w:p>
        </w:tc>
        <w:tc>
          <w:tcPr>
            <w:tcW w:type="dxa" w:w="15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0.063</w:t>
            </w:r>
          </w:p>
        </w:tc>
      </w:tr>
      <w:tr>
        <w:trPr>
          <w:cantSplit/>
        </w:trPr>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MAPKAPK5</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0.977 (0.967–0.987)</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color w:val="000000"/>
                <w:sz w:val="19"/>
              </w:rPr>
              <w:t>5.28×10⁻⁶</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0.990 (0.929–1.055)</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0.751</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No</w:t>
            </w:r>
          </w:p>
        </w:tc>
        <w:tc>
          <w:tcPr>
            <w:tcW w:type="dxa" w:w="15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0.041</w:t>
            </w:r>
          </w:p>
        </w:tc>
      </w:tr>
      <w:tr>
        <w:trPr>
          <w:cantSplit/>
        </w:trPr>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PSMB8</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1.25 (1.13–1.38)</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color w:val="000000"/>
                <w:sz w:val="19"/>
              </w:rPr>
              <w:t>6.86×10⁻⁶</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0.96 (0.85–1.08)</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0.512</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No</w:t>
            </w:r>
          </w:p>
        </w:tc>
        <w:tc>
          <w:tcPr>
            <w:tcW w:type="dxa" w:w="15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r>
      <w:tr>
        <w:trPr>
          <w:cantSplit/>
        </w:trPr>
        <w:tc>
          <w:tcPr>
            <w:tcW w:type="dxa" w:w="144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IFNGR1</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2.10 (1.51–2.91)</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color w:val="000000"/>
                <w:sz w:val="19"/>
              </w:rPr>
              <w:t>9.41×10⁻⁶</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1.62 (1.18–2.24)</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color w:val="000000"/>
                <w:sz w:val="19"/>
              </w:rPr>
              <w:t>0.0033</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Yes</w:t>
            </w:r>
          </w:p>
        </w:tc>
        <w:tc>
          <w:tcPr>
            <w:tcW w:type="dxa" w:w="15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0.313</w:t>
            </w:r>
          </w:p>
        </w:tc>
      </w:tr>
    </w:tbl>
    <w:p>
      <w:pPr>
        <w:spacing w:before="160"/>
      </w:pPr>
      <w:r>
        <w:rPr>
          <w:sz w:val="18"/>
        </w:rPr>
        <w:t xml:space="preserve">Panel A: focused support requires concordant direction and P &lt; 0.05/13; 7 of 13 qualify. NA is unavailable, not a negative result. </w:t>
      </w:r>
      <w:r>
        <w:rPr>
          <w:sz w:val="18"/>
        </w:rPr>
        <w:t xml:space="preserve"> Bold P values denote nominal P &lt; 0.05; screen and focused thresholds are stated separately.</w:t>
      </w:r>
    </w:p>
    <w:p>
      <w:r>
        <w:br w:type="page"/>
      </w:r>
    </w:p>
    <w:p>
      <w:pPr>
        <w:pStyle w:val="Heading1"/>
      </w:pPr>
      <w:r>
        <w:t>Table 3. Screen and supporting analyses — B</w:t>
      </w:r>
    </w:p>
    <w:tbl>
      <w:tblPr>
        <w:tblW w:type="auto" w:w="0"/>
        <w:tblLayout w:type="fixed"/>
        <w:tblLook w:firstColumn="1" w:firstRow="1" w:lastColumn="0" w:lastRow="0" w:noHBand="0" w:noVBand="1" w:val="04A0"/>
      </w:tblPr>
      <w:tblGrid>
        <w:gridCol w:w="1728"/>
        <w:gridCol w:w="720"/>
        <w:gridCol w:w="2592"/>
        <w:gridCol w:w="2160"/>
        <w:gridCol w:w="1872"/>
        <w:gridCol w:w="2016"/>
        <w:gridCol w:w="1728"/>
      </w:tblGrid>
      <w:tr>
        <w:trPr>
          <w:tblHeader/>
          <w:cantSplit/>
        </w:trPr>
        <w:tc>
          <w:tcPr>
            <w:tcW w:type="dxa" w:w="1728"/>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Additional gene</w:t>
            </w:r>
          </w:p>
        </w:tc>
        <w:tc>
          <w:tcPr>
            <w:tcW w:type="dxa" w:w="720"/>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GD IVs</w:t>
            </w:r>
          </w:p>
        </w:tc>
        <w:tc>
          <w:tcPr>
            <w:tcW w:type="dxa" w:w="2592"/>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GD OR (95% CI)</w:t>
            </w:r>
          </w:p>
        </w:tc>
        <w:tc>
          <w:tcPr>
            <w:tcW w:type="dxa" w:w="2160"/>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GD P</w:t>
            </w:r>
          </w:p>
        </w:tc>
        <w:tc>
          <w:tcPr>
            <w:tcW w:type="dxa" w:w="1872"/>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BBJ PP.H4</w:t>
            </w:r>
          </w:p>
        </w:tc>
        <w:tc>
          <w:tcPr>
            <w:tcW w:type="dxa" w:w="2016"/>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GD PP.H4</w:t>
            </w:r>
          </w:p>
        </w:tc>
        <w:tc>
          <w:tcPr>
            <w:tcW w:type="dxa" w:w="1728"/>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GO strict PP.H4</w:t>
            </w:r>
          </w:p>
        </w:tc>
      </w:tr>
      <w:tr>
        <w:trPr>
          <w:cantSplit/>
        </w:trPr>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APOM</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w:t>
            </w:r>
          </w:p>
        </w:tc>
        <w:tc>
          <w:tcPr>
            <w:tcW w:type="dxa" w:w="259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0.05 (0.04–0.06)</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color w:val="000000"/>
                <w:sz w:val="19"/>
              </w:rPr>
              <w:t>1.43×10⁻¹⁰⁸</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c>
          <w:tcPr>
            <w:tcW w:type="dxa" w:w="201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0.227</w:t>
            </w:r>
          </w:p>
        </w:tc>
      </w:tr>
      <w:tr>
        <w:trPr>
          <w:cantSplit/>
        </w:trPr>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NEU1</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w:t>
            </w:r>
          </w:p>
        </w:tc>
        <w:tc>
          <w:tcPr>
            <w:tcW w:type="dxa" w:w="259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0.04 (0.03–0.06)</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color w:val="000000"/>
                <w:sz w:val="19"/>
              </w:rPr>
              <w:t>1.43×10⁻¹⁰⁸</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c>
          <w:tcPr>
            <w:tcW w:type="dxa" w:w="201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0.061</w:t>
            </w:r>
          </w:p>
        </w:tc>
      </w:tr>
      <w:tr>
        <w:trPr>
          <w:cantSplit/>
        </w:trPr>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IGLV2-18</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w:t>
            </w:r>
          </w:p>
        </w:tc>
        <w:tc>
          <w:tcPr>
            <w:tcW w:type="dxa" w:w="259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0.56 (0.48–0.66)</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color w:val="000000"/>
                <w:sz w:val="19"/>
              </w:rPr>
              <w:t>7.52×10⁻¹²</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0.029</w:t>
            </w:r>
          </w:p>
        </w:tc>
        <w:tc>
          <w:tcPr>
            <w:tcW w:type="dxa" w:w="201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0.020</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0.100</w:t>
            </w:r>
          </w:p>
        </w:tc>
      </w:tr>
      <w:tr>
        <w:trPr>
          <w:cantSplit/>
        </w:trPr>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IGLV3-12</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w:t>
            </w:r>
          </w:p>
        </w:tc>
        <w:tc>
          <w:tcPr>
            <w:tcW w:type="dxa" w:w="259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1.20 (1.14–1.26)</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color w:val="000000"/>
                <w:sz w:val="19"/>
              </w:rPr>
              <w:t>7.52×10⁻¹²</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0.019</w:t>
            </w:r>
          </w:p>
        </w:tc>
        <w:tc>
          <w:tcPr>
            <w:tcW w:type="dxa" w:w="201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0.022</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0.101</w:t>
            </w:r>
          </w:p>
        </w:tc>
      </w:tr>
      <w:tr>
        <w:trPr>
          <w:cantSplit/>
        </w:trPr>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TNF</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w:t>
            </w:r>
          </w:p>
        </w:tc>
        <w:tc>
          <w:tcPr>
            <w:tcW w:type="dxa" w:w="259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0.60 (0.51–0.71)</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color w:val="000000"/>
                <w:sz w:val="19"/>
              </w:rPr>
              <w:t>4.65×10⁻¹⁰</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c>
          <w:tcPr>
            <w:tcW w:type="dxa" w:w="201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r>
      <w:tr>
        <w:trPr>
          <w:cantSplit/>
        </w:trPr>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HIST1H4E</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w:t>
            </w:r>
          </w:p>
        </w:tc>
        <w:tc>
          <w:tcPr>
            <w:tcW w:type="dxa" w:w="259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2.54 (1.88–3.43)</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color w:val="000000"/>
                <w:sz w:val="19"/>
              </w:rPr>
              <w:t>1.51×10⁻⁹</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c>
          <w:tcPr>
            <w:tcW w:type="dxa" w:w="201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0.007</w:t>
            </w:r>
          </w:p>
        </w:tc>
      </w:tr>
      <w:tr>
        <w:trPr>
          <w:cantSplit/>
        </w:trPr>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LTA</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w:t>
            </w:r>
          </w:p>
        </w:tc>
        <w:tc>
          <w:tcPr>
            <w:tcW w:type="dxa" w:w="259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0.46 (0.35–0.61)</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color w:val="000000"/>
                <w:sz w:val="19"/>
              </w:rPr>
              <w:t>3.75×10⁻⁸</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c>
          <w:tcPr>
            <w:tcW w:type="dxa" w:w="201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r>
      <w:tr>
        <w:trPr>
          <w:cantSplit/>
        </w:trPr>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LTB</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w:t>
            </w:r>
          </w:p>
        </w:tc>
        <w:tc>
          <w:tcPr>
            <w:tcW w:type="dxa" w:w="259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0.18 (0.10–0.36)</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color w:val="000000"/>
                <w:sz w:val="19"/>
              </w:rPr>
              <w:t>4.89×10⁻⁷</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c>
          <w:tcPr>
            <w:tcW w:type="dxa" w:w="201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r>
      <w:tr>
        <w:trPr>
          <w:cantSplit/>
        </w:trPr>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C4B</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2</w:t>
            </w:r>
          </w:p>
        </w:tc>
        <w:tc>
          <w:tcPr>
            <w:tcW w:type="dxa" w:w="259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1.63 (1.31–2.03)</w:t>
            </w:r>
          </w:p>
        </w:tc>
        <w:tc>
          <w:tcPr>
            <w:tcW w:type="dxa" w:w="2160"/>
            <w:tcMar>
              <w:top w:w="65" w:type="dxa"/>
              <w:left w:w="65" w:type="dxa"/>
              <w:bottom w:w="65" w:type="dxa"/>
              <w:right w:w="65" w:type="dxa"/>
            </w:tcMar>
            <w:tcBorders>
              <w:bottom w:val="single" w:sz="4" w:color="BFC6CA"/>
            </w:tcBorders>
          </w:tcPr>
          <w:p>
            <w:pPr>
              <w:spacing w:after="60" w:before="60" w:line="252" w:lineRule="auto"/>
            </w:pPr>
            <w:r>
              <w:rPr>
                <w:b/>
                <w:color w:val="000000"/>
                <w:sz w:val="19"/>
              </w:rPr>
              <w:t>1.10×10⁻⁵</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c>
          <w:tcPr>
            <w:tcW w:type="dxa" w:w="201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&lt;0.001</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0.311</w:t>
            </w:r>
          </w:p>
        </w:tc>
      </w:tr>
    </w:tbl>
    <w:p>
      <w:pPr>
        <w:spacing w:before="160"/>
      </w:pPr>
      <w:r>
        <w:rPr>
          <w:sz w:val="18"/>
        </w:rPr>
        <w:t xml:space="preserve"> nine additional reference-frequency FinnGen GD discoveries at P &lt; 0.05/2,544; post hoc and not independent of the full screen. APOM/NEU1 share rs3101018; IGLV2-18/IGLV3-12 share rs5759410. The lead IGLV expression variant is absent in BBJ, weakening interpretation of its low PP.H4. </w:t>
      </w:r>
    </w:p>
    <w:p>
      <w:r>
        <w:br w:type="page"/>
      </w:r>
    </w:p>
    <w:p>
      <w:pPr>
        <w:pStyle w:val="Heading1"/>
      </w:pPr>
      <w:r>
        <w:t>Table 3. Screen and supporting analyses — C</w:t>
      </w:r>
    </w:p>
    <w:tbl>
      <w:tblPr>
        <w:tblW w:type="auto" w:w="0"/>
        <w:tblLayout w:type="fixed"/>
        <w:tblLook w:firstColumn="1" w:firstRow="1" w:lastColumn="0" w:lastRow="0" w:noHBand="0" w:noVBand="1" w:val="04A0"/>
      </w:tblPr>
      <w:tblGrid>
        <w:gridCol w:w="1584"/>
        <w:gridCol w:w="2304"/>
        <w:gridCol w:w="1584"/>
        <w:gridCol w:w="2592"/>
        <w:gridCol w:w="1872"/>
        <w:gridCol w:w="2880"/>
      </w:tblGrid>
      <w:tr>
        <w:trPr>
          <w:tblHeader/>
          <w:cantSplit/>
        </w:trPr>
        <w:tc>
          <w:tcPr>
            <w:tcW w:type="dxa" w:w="1584"/>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Gene / GD analysis</w:t>
            </w:r>
          </w:p>
        </w:tc>
        <w:tc>
          <w:tcPr>
            <w:tcW w:type="dxa" w:w="2304"/>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Reference OR (95% CI)</w:t>
            </w:r>
          </w:p>
        </w:tc>
        <w:tc>
          <w:tcPr>
            <w:tcW w:type="dxa" w:w="1584"/>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Reference P</w:t>
            </w:r>
          </w:p>
        </w:tc>
        <w:tc>
          <w:tcPr>
            <w:tcW w:type="dxa" w:w="2592"/>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Cohort-frequency OR (95% CI)</w:t>
            </w:r>
          </w:p>
        </w:tc>
        <w:tc>
          <w:tcPr>
            <w:tcW w:type="dxa" w:w="1872"/>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Cohort P</w:t>
            </w:r>
          </w:p>
        </w:tc>
        <w:tc>
          <w:tcPr>
            <w:tcW w:type="dxa" w:w="2880"/>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Interpretation</w:t>
            </w:r>
          </w:p>
        </w:tc>
      </w:tr>
      <w:tr>
        <w:trPr>
          <w:cantSplit/>
        </w:trPr>
        <w:tc>
          <w:tcPr>
            <w:tcW w:type="dxa" w:w="15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C4B</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1.63 (1.31–2.03)</w:t>
            </w:r>
          </w:p>
        </w:tc>
        <w:tc>
          <w:tcPr>
            <w:tcW w:type="dxa" w:w="1584"/>
            <w:tcMar>
              <w:top w:w="65" w:type="dxa"/>
              <w:left w:w="65" w:type="dxa"/>
              <w:bottom w:w="65" w:type="dxa"/>
              <w:right w:w="65" w:type="dxa"/>
            </w:tcMar>
            <w:tcBorders>
              <w:bottom w:val="single" w:sz="4" w:color="BFC6CA"/>
            </w:tcBorders>
          </w:tcPr>
          <w:p>
            <w:pPr>
              <w:spacing w:after="60" w:before="60" w:line="252" w:lineRule="auto"/>
            </w:pPr>
            <w:r>
              <w:rPr>
                <w:b/>
                <w:color w:val="000000"/>
                <w:sz w:val="19"/>
              </w:rPr>
              <w:t>1.10×10⁻⁵</w:t>
            </w:r>
          </w:p>
        </w:tc>
        <w:tc>
          <w:tcPr>
            <w:tcW w:type="dxa" w:w="259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1.75 (1.31–2.33)</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color w:val="000000"/>
                <w:sz w:val="19"/>
              </w:rPr>
              <w:t>1.48×10⁻⁴</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Heterogeneous; loses screen significance</w:t>
            </w:r>
          </w:p>
        </w:tc>
      </w:tr>
      <w:tr>
        <w:trPr>
          <w:cantSplit/>
        </w:trPr>
        <w:tc>
          <w:tcPr>
            <w:tcW w:type="dxa" w:w="15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HLA-G</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0.86 (0.72–1.03)</w:t>
            </w:r>
          </w:p>
        </w:tc>
        <w:tc>
          <w:tcPr>
            <w:tcW w:type="dxa" w:w="158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0.107</w:t>
            </w:r>
          </w:p>
        </w:tc>
        <w:tc>
          <w:tcPr>
            <w:tcW w:type="dxa" w:w="259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0.60 (0.47–0.75)</w:t>
            </w:r>
          </w:p>
        </w:tc>
        <w:tc>
          <w:tcPr>
            <w:tcW w:type="dxa" w:w="1872"/>
            <w:tcMar>
              <w:top w:w="65" w:type="dxa"/>
              <w:left w:w="65" w:type="dxa"/>
              <w:bottom w:w="65" w:type="dxa"/>
              <w:right w:w="65" w:type="dxa"/>
            </w:tcMar>
            <w:tcBorders>
              <w:bottom w:val="single" w:sz="4" w:color="BFC6CA"/>
            </w:tcBorders>
          </w:tcPr>
          <w:p>
            <w:pPr>
              <w:spacing w:after="60" w:before="60" w:line="252" w:lineRule="auto"/>
            </w:pPr>
            <w:r>
              <w:rPr>
                <w:b/>
                <w:color w:val="000000"/>
                <w:sz w:val="19"/>
              </w:rPr>
              <w:t>1.72×10⁻⁵</w:t>
            </w:r>
          </w:p>
        </w:tc>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Weight-sensitive; single-variant dependence</w:t>
            </w:r>
          </w:p>
        </w:tc>
      </w:tr>
    </w:tbl>
    <w:p>
      <w:pPr>
        <w:spacing w:before="160"/>
      </w:pPr>
      <w:r>
        <w:rPr>
          <w:sz w:val="18"/>
        </w:rPr>
        <w:t xml:space="preserve"> HLA-G was added because of frequency sensitivity, not primary discovery. Neither C4B nor HLA-G gains strong GD colocalization. All 24 genes and five datasets are available in the workbook.</w:t>
      </w:r>
      <w:r>
        <w:rPr>
          <w:sz w:val="18"/>
        </w:rPr>
        <w:t xml:space="preserve"> Bold P values denote nominal P &lt; 0.05; screen and focused thresholds are stated separately.</w:t>
      </w:r>
    </w:p>
    <w:sectPr w:rsidR="00FC693F" w:rsidRPr="0006063C" w:rsidSect="00034616">
      <w:footerReference w:type="default" r:id="rId9"/>
      <w:pgSz w:w="15840" w:h="12240" w:orient="landscape"/>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24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300" w:lineRule="auto"/>
    </w:pPr>
    <w:rPr>
      <w:rFonts w:ascii="Times New Roman" w:hAnsi="Times New Roman"/>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subject/>
  <dc:creator>Jungyul Park and colleagues</dc:creator>
  <cp:keywords/>
  <dc:description>generated by python-docx</dc:description>
  <cp:lastModifiedBy/>
  <cp:revision>1</cp:revision>
  <dcterms:created xsi:type="dcterms:W3CDTF">2013-12-23T23:15:00Z</dcterms:created>
  <dcterms:modified xsi:type="dcterms:W3CDTF">2013-12-23T23:15:00Z</dcterms:modified>
  <cp:category/>
</cp:coreProperties>
</file>