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BBJ cases merged physician diagnoses with curated medical histories and text-mined records; controls lacked GD or related diagnoses; covariates were age, age</w:t>
      </w:r>
      <w:r>
        <w:rPr>
          <w:color w:val="000000"/>
          <w:vertAlign w:val="superscript"/>
        </w:rPr>
        <w:t xml:space="preserve">2</w:t>
      </w:r>
      <w:r>
        <w:rPr>
          <w:color w:val="000000"/>
        </w:rPr>
        <w:t xml:space="preserve">, sex, their interactions and 20 principal components.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FinnGen GD screen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Of 4,479 druggable-genome genes, 4,462 mapped to GRCh37. 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 = 1/√[2f(1−f)(N + Z²)] and β = Z × SE, where f is the assessed-allele frequency and N is the variant-specific expression sample size (median 28,092; range 232–31,684).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 No Steiger directionality test was performed.</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GCTA 1.95.1 COJO stepwise selection (BBJ; East Asian reference) retained one signal, rs8050588; conditional on it, the three variants had</w:t>
      </w:r>
      <w:r>
        <w:rPr>
          <w:color w:val="000000"/>
        </w:rPr>
        <w:t xml:space="preserve"> </w:t>
      </w:r>
      <w:r>
        <w:rPr>
          <w:iCs/>
          <w:i/>
          <w:color w:val="000000"/>
        </w:rPr>
        <w:t xml:space="preserve">P</w:t>
      </w:r>
      <w:r>
        <w:rPr>
          <w:color w:val="000000"/>
        </w:rPr>
        <w:t xml:space="preserve"> </w:t>
      </w:r>
      <w:r>
        <w:rPr>
          <w:color w:val="000000"/>
        </w:rPr>
        <w:t xml:space="preserve">= 0.81–0.93, supporting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with the default prior effect SDs of 0.2 and 0.15, respectively.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no PP.H4 changed side of 0.80 across scenarios.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and shared instruments;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colocalization power.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trimmed (Trimmomatic 0.38), aligned to GRCh38 (HISAT2 2.1.0) and quantified as TPM (StringTie 2.1.3b).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Suk-Woo Yang</dc:creator>
  <cp:keywords/>
  <dcterms:created xsi:type="dcterms:W3CDTF">2026-10-26T07:30:15Z</dcterms:created>
  <dcterms:modified xsi:type="dcterms:W3CDTF">2026-10-26T07:30:15Z</dcterms:modified>
  <cp:lastModifiedBy/>
  <dc:description/>
</cp:coreProperties>
</file>

<file path=docProps/custom.xml><?xml version="1.0" encoding="utf-8"?>
<Properties xmlns="http://schemas.openxmlformats.org/officeDocument/2006/custom-properties" xmlns:vt="http://schemas.openxmlformats.org/officeDocument/2006/docPropsVTypes"/>
</file>