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over-letter"/>
    <w:p>
      <w:pPr>
        <w:pStyle w:val="Title"/>
        <w:widowControl/>
        <w:spacing w:before="0"/>
      </w:pPr>
      <w:r>
        <w:t xml:space="preserve">Cover letter</w:t>
      </w:r>
    </w:p>
    <w:p>
      <w:pPr>
        <w:pStyle w:val="FirstParagraph"/>
        <w:widowControl/>
      </w:pPr>
      <w:r>
        <w:t xml:space="preserve">12 September 2026</w:t>
      </w:r>
    </w:p>
    <w:p>
      <w:pPr>
        <w:pStyle w:val="BodyText"/>
        <w:widowControl/>
      </w:pPr>
      <w:r>
        <w:t xml:space="preserve">The Editor-in-Chief</w:t>
      </w:r>
      <w:r>
        <w:br/>
      </w:r>
      <w:r>
        <w:rPr>
          <w:i/>
          <w:iCs/>
        </w:rPr>
        <w:t xml:space="preserve">Endocrine Connections</w:t>
      </w:r>
    </w:p>
    <w:p>
      <w:pPr>
        <w:pStyle w:val="BodyText"/>
        <w:widowControl/>
      </w:pPr>
      <w:r>
        <w:t xml:space="preserve">Dear Editor-in-Chief,</w:t>
      </w:r>
    </w:p>
    <w:p>
      <w:pPr>
        <w:pStyle w:val="BodyText"/>
        <w:widowControl/>
      </w:pPr>
      <w:r>
        <w:t xml:space="preserve">Please consider “TSHR and IGF1R expression in Graves disease: Mendelian randomization and colocalization” 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
          <w:iCs/>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p>
      <w:pPr>
        <w:pStyle w:val="BodyText"/>
        <w:widowControl/>
      </w:pPr>
      <w:r>
        <w:t xml:space="preserve">Author institutions: Jungyul Park and Suk-Woo Yang — Department of Ophthalmology, Seoul St. Mary’s Hospital, College of Medicine, The Catholic University of Korea, Seoul; Min-Seon Kim — Department of Ophthalmology, College of Medicine, The Catholic University of Korea, Seoul; Kyung-Hwa Shin — Department of Laboratory Medicine, Pusan National University Hospital, Busan. All institutions are in the Republic of Korea.</w:t>
      </w:r>
    </w:p>
    <w:bookmarkEnd w:id="9"/>
    <w:sectPr>
      <w:footerReference w:type="default" r:id="rId9"/>
      <w:footerReference w:type="first" r:id="rId10"/>
      <w:footerReference w:type="even" r:id="rId11"/>
      <w:footnotePr>
        <w:numRestart w:val="eachSect"/>
      </w:footnotePr>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qFormat/>
    <w:pPr>
      <w:spacing w:after="100" w:before="180" w:line="240" w:lineRule="auto"/>
    </w:pPr>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link w:val="TitleChar"/>
    <w:uiPriority w:val="10"/>
    <w:qFormat/>
    <w:rsid w:val="00A10FD9"/>
    <w:pPr>
      <w:keepNext/>
      <w:spacing w:after="120" w:line="276" w:lineRule="auto" w:before="240"/>
      <w:contextualSpacing/>
      <w:jc w:val="center"/>
    </w:pPr>
    <w:rPr>
      <w:rFonts w:asciiTheme="majorHAnsi" w:cstheme="majorBidi" w:eastAsiaTheme="majorEastAsia" w:hAnsiTheme="majorHAnsi" w:ascii="Times New Roman" w:hAnsi="Times New Roman"/>
      <w:b/>
      <w:color w:val="000000"/>
      <w:sz w:val="3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outlineLvl w:val="0"/>
    </w:pPr>
    <w:rPr>
      <w:rFonts w:asciiTheme="majorHAnsi" w:cstheme="majorBidi" w:eastAsiaTheme="majorEastAsia" w:hAnsiTheme="majorHAnsi" w:ascii="Times New Roman" w:hAnsi="Times New Roman"/>
      <w:b/>
      <w:color w:val="00000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outlineLvl w:val="1"/>
    </w:pPr>
    <w:rPr>
      <w:rFonts w:asciiTheme="majorHAnsi" w:cstheme="majorBidi" w:eastAsiaTheme="majorEastAsia" w:hAnsiTheme="majorHAnsi" w:ascii="Times New Roman" w:hAnsi="Times New Roman"/>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outlineLvl w:val="2"/>
    </w:pPr>
    <w:rPr>
      <w:rFonts w:cstheme="majorBidi" w:eastAsiaTheme="majorEastAsia" w:ascii="Times New Roman" w:hAnsi="Times New Roman"/>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76" w:lineRule="auto"/>
      <w:outlineLvl w:val="3"/>
    </w:pPr>
    <w:rPr>
      <w:rFonts w:cstheme="majorBidi" w:eastAsiaTheme="majorEastAsia" w:ascii="Times New Roman" w:hAnsi="Times New Roman"/>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2026-09-12T14:57:19Z</dcterms:created>
  <dcterms:modified xsi:type="dcterms:W3CDTF">2026-09-12T14:57:19Z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