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Title"/>
        <w:widowControl/>
        <w:spacing w:before="0" w:after="120"/>
      </w:pPr>
      <w:r>
        <w:t xml:space="preserve">Cover letter</w:t>
      </w:r>
    </w:p>
    <w:p>
      <w:pPr>
        <w:pStyle w:val="FirstParagraph"/>
        <w:widowControl/>
      </w:pPr>
      <w:r>
        <w:t xml:space="preserve">5 September 2026</w:t>
      </w:r>
    </w:p>
    <w:p>
      <w:pPr>
        <w:pStyle w:val="BodyText"/>
        <w:widowControl/>
      </w:pPr>
      <w:r>
        <w:t xml:space="preserve">The Editors</w:t>
      </w:r>
      <w:r>
        <w:br/>
      </w:r>
      <w:r>
        <w:rPr>
          <w:i/>
          <w:iCs/>
        </w:rPr>
        <w:t xml:space="preserve">Endocrine Connections</w:t>
      </w:r>
    </w:p>
    <w:p>
      <w:pPr>
        <w:pStyle w:val="BodyText"/>
        <w:widowControl/>
      </w:pPr>
      <w:r>
        <w:t xml:space="preserve">Dear Editors,</w:t>
      </w:r>
    </w:p>
    <w:p>
      <w:pPr>
        <w:pStyle w:val="BodyText"/>
        <w:widowControl/>
      </w:pPr>
      <w:r>
        <w:t xml:space="preserve">Please consider our manuscript, “Genetic susceptibility at TSHR and IGF1R in Graves disease and thyroid eye disease,” as an original research article.</w:t>
      </w:r>
    </w:p>
    <w:p>
      <w:pPr>
        <w:pStyle w:val="BodyText"/>
        <w:widowControl/>
      </w:pPr>
      <w:r>
        <w:t xml:space="preserve">The efficacy of IGF-1R blockade in thyroid eye disease raises a clinically relevant question: how does the genetic susceptibility profile of</w:t>
      </w:r>
      <w:r>
        <w:t xml:space="preserve"> </w:t>
      </w:r>
      <w:r>
        <w:rPr>
          <w:i/>
          <w:iCs/>
        </w:rPr>
        <w:t xml:space="preserve">IGF1R</w:t>
      </w:r>
      <w:r>
        <w:t xml:space="preserve"> </w:t>
      </w:r>
      <w:r>
        <w:t xml:space="preserve">compare with that of the established Graves disease autoantigen</w:t>
      </w:r>
      <w:r>
        <w:t xml:space="preserve"> </w:t>
      </w:r>
      <w:r>
        <w:rPr>
          <w:i/>
          <w:iCs/>
        </w:rPr>
        <w:t xml:space="preserve">TSHR</w:t>
      </w:r>
      <w:r>
        <w:t xml:space="preserve">? We examined genetically proxied blood expression across 2,544 druggable genes using Mendelian randomization and colocalization. Biobank Japan Graves disease served as discovery, UK Biobank hyperthyroidism as broader-phenotype replication, and FinnGen Graves ophthalmopathy as a TED-enriched sensitivity outcome.</w:t>
      </w:r>
    </w:p>
    <w:p>
      <w:pPr>
        <w:pStyle w:val="BodyText"/>
        <w:widowControl/>
      </w:pPr>
      <w:r>
        <w:t xml:space="preserve">Thirteen genes reached discovery significance.</w:t>
      </w:r>
      <w:r>
        <w:t xml:space="preserve"> </w:t>
      </w:r>
      <w:r>
        <w:rPr>
          <w:i/>
          <w:iCs/>
        </w:rPr>
        <w:t xml:space="preserve">TSHR</w:t>
      </w:r>
      <w:r>
        <w:t xml:space="preserve"> </w:t>
      </w:r>
      <w:r>
        <w:t xml:space="preserve">showed direction-consistent protective MR estimates and strong expression colocalization in BBJ and FinnGen (PP.H4 = 0.951 and 0.986), while UKB favoured distinct variants.</w:t>
      </w:r>
      <w:r>
        <w:t xml:space="preserve"> </w:t>
      </w:r>
      <w:r>
        <w:rPr>
          <w:i/>
          <w:iCs/>
        </w:rPr>
        <w:t xml:space="preserve">IGF1R</w:t>
      </w:r>
      <w:r>
        <w:t xml:space="preserve"> </w:t>
      </w:r>
      <w:r>
        <w:t xml:space="preserve">had nominal MR associations in BBJ and UKB but did not reach the colocalization threshold in any outcome. No novel candidate passed the combined discovery-plus-TED colocalization criterion. The study offers a common framework for interpreting these profiles without equating therapeutic efficacy with genetic susceptibility or inferring that an unresolved locus has no genetic contribution.</w:t>
      </w:r>
    </w:p>
    <w:p>
      <w:pPr>
        <w:pStyle w:val="BodyText"/>
        <w:widowControl/>
      </w:pPr>
      <w:r>
        <w:t xml:space="preserve">The manuscript reports limitations that affect clinical interpretation: FinnGen uses population controls and cannot isolate TED-specific liability within Graves disease; the exposure data are European blood eQTLs; colocalization depends on the single-causal-variant model and prior; and cohort-specific eQTLGen frequency sensitivity remains untested. MR detection thresholds are reported separately from the unquantified power of the combined filter. Orbital RNA-seq observations from four TED samples and one control are descriptive only, with no inferential expression tests reported.</w:t>
      </w:r>
    </w:p>
    <w:p>
      <w:pPr>
        <w:pStyle w:val="BodyText"/>
        <w:widowControl/>
      </w:pPr>
      <w:r>
        <w:t xml:space="preserve">An earlier, narrower version was considered at thyroid-focused journals. Following editorial feedback, the work was restructured around a druggable-gene-wide discovery analysis and multi-outcome evaluation. The in-house orbital dataset is also used for a different, whole-transcriptome question in a separate manuscript under review elsewhere. Here, only the three backbone genes are described; no genome-wide expression catalogue or pathway-enrichment result is presented. The companion manuscript can be provided to the editors to assess overlap.</w:t>
      </w:r>
    </w:p>
    <w:p>
      <w:pPr>
        <w:pStyle w:val="BodyText"/>
        <w:widowControl/>
      </w:pPr>
      <w:r>
        <w:t xml:space="preserve">This manuscript has not been published and is not under consideration elsewhere. The authors report no specific funding or competing interests. The orbital tissue component received approval from the Institutional Review Board of Pusan National University Hospital (2104-018-102), with written informed consent. Author contributions, data access, reporting coverage and use of AI-assisted tools are disclosed in the manuscript. Instrument-level data and primary MR and colocalization results accompany the submission.</w:t>
      </w:r>
    </w:p>
    <w:p>
      <w:pPr>
        <w:pStyle w:val="BodyText"/>
        <w:widowControl/>
      </w:pPr>
      <w:r>
        <w:t xml:space="preserve">Thank you for considering this work.</w:t>
      </w:r>
    </w:p>
    <w:p>
      <w:pPr>
        <w:pStyle w:val="BodyText"/>
        <w:keepNext/>
        <w:widowControl/>
      </w:pPr>
      <w:r>
        <w:t xml:space="preserve">Sincerely,</w:t>
      </w:r>
    </w:p>
    <w:p>
      <w:pPr>
        <w:pStyle w:val="BodyText"/>
        <w:keepNext/>
        <w:widowControl/>
      </w:pPr>
      <w:r>
        <w:t xml:space="preserve">Suk-Woo Yang, MD, PhD</w:t>
      </w:r>
      <w:r>
        <w:br/>
      </w:r>
      <w:r>
        <w:t xml:space="preserve">Corresponding author, on behalf of Jungyul Park, Min-Seon Kim, Kyung-Hwa Shin and Suk-Woo Yang</w:t>
      </w:r>
      <w:r>
        <w:br/>
      </w:r>
      <w:r>
        <w:t xml:space="preserve">Department of Ophthalmology, Seoul St. Mary’s Hospital</w:t>
      </w:r>
      <w:r>
        <w:br/>
      </w:r>
      <w:r>
        <w:t xml:space="preserve">College of Medicine, The Catholic University of Korea, Seoul, Republic of Korea</w:t>
      </w:r>
      <w:r>
        <w:br/>
      </w:r>
      <w:r>
        <w:t xml:space="preserve">E-mail: yswoph@catholic.ac.kr · Tel: +82-2-2258-2847</w:t>
      </w:r>
    </w:p>
    <w:bookmarkEnd w:id="9"/>
    <w:sectPr>
      <w:footerReference w:type="default" r:id="rId9"/>
      <w:footerReference w:type="first" r:id="rId10"/>
      <w:footerReference w:type="even" r:id="rId11"/>
      <w:footnotePr>
        <w:numRestart w:val="eachSect"/>
      </w:footnotePr>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00"/>
    </w:pPr>
    <w:rPr>
      <w:rFonts w:ascii="Times New Roman" w:hAnsi="Times New Roman"/>
      <w:sz w:val="22"/>
    </w:rPr>
  </w:style>
  <w:style w:styleId="BodyText" w:type="paragraph">
    <w:name w:val="Body Text"/>
    <w:basedOn w:val="Normal"/>
    <w:link w:val="BodyTextChar"/>
    <w:qFormat/>
    <w:pPr>
      <w:spacing w:after="100" w:before="180" w:line="240" w:lineRule="auto"/>
    </w:pPr>
    <w:rPr>
      <w:rFonts w:ascii="Times New Roman" w:hAnsi="Times New Roman"/>
      <w:sz w:val="22"/>
    </w:rPr>
  </w:style>
  <w:style w:customStyle="1" w:styleId="FirstParagraph" w:type="paragraph">
    <w:name w:val="First Paragraph"/>
    <w:basedOn w:val="BodyText"/>
    <w:next w:val="BodyText"/>
    <w:qFormat/>
    <w:pPr>
      <w:spacing w:line="240" w:lineRule="auto" w:after="100"/>
    </w:pPr>
    <w:rPr>
      <w:rFonts w:ascii="Times New Roman" w:hAnsi="Times New Roman"/>
      <w:sz w:val="22"/>
    </w:rPr>
  </w:style>
  <w:style w:customStyle="1" w:styleId="Compact" w:type="paragraph">
    <w:name w:val="Compact"/>
    <w:basedOn w:val="BodyText"/>
    <w:qFormat/>
    <w:pPr>
      <w:spacing w:after="100" w:before="36" w:line="240" w:lineRule="auto"/>
    </w:pPr>
    <w:rPr>
      <w:rFonts w:ascii="Times New Roman" w:hAnsi="Times New Roman"/>
      <w:sz w:val="22"/>
    </w:rPr>
  </w:style>
  <w:style w:styleId="Title" w:type="paragraph">
    <w:name w:val="Title"/>
    <w:basedOn w:val="Normal"/>
    <w:next w:val="BodyText"/>
    <w:link w:val="TitleChar"/>
    <w:uiPriority w:val="10"/>
    <w:qFormat/>
    <w:rsid w:val="00A10FD9"/>
    <w:pPr>
      <w:keepNext/>
      <w:spacing w:after="120" w:line="276" w:lineRule="auto" w:before="240"/>
      <w:contextualSpacing/>
      <w:jc w:val="center"/>
    </w:pPr>
    <w:rPr>
      <w:rFonts w:asciiTheme="majorHAnsi" w:cstheme="majorBidi" w:eastAsiaTheme="majorEastAsia" w:hAnsiTheme="majorHAnsi" w:ascii="Times New Roman" w:hAnsi="Times New Roman"/>
      <w:b/>
      <w:color w:val="000000"/>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outlineLvl w:val="3"/>
    </w:pPr>
    <w:rPr>
      <w:rFonts w:cstheme="majorBidi" w:eastAsiaTheme="majorEastAsia"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240" w:lineRule="auto" w:after="100"/>
    </w:pPr>
    <w:rPr>
      <w:rFonts w:ascii="Times New Roman" w:hAnsi="Times New Roman"/>
      <w:sz w:val="22"/>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after="100"/>
    </w:pPr>
    <w:rPr>
      <w:rFonts w:ascii="Times New Roman" w:hAnsi="Times New Roman"/>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to Endocrine Connections</dc:title>
  <dc:creator>Jungyul Park; Min-Seon Kim; Kyung-Hwa Shin; Suk-Woo Yang</dc:creator>
  <cp:keywords/>
  <dcterms:created xsi:type="dcterms:W3CDTF">2026-09-05T02:53:55Z</dcterms:created>
  <dcterms:modified xsi:type="dcterms:W3CDTF">2026-09-05T02:53:55Z</dcterms:modified>
  <dc:identifier>COVER_LETTER_EndocrineConnections</dc:identifier>
  <cp:lastModifiedBy/>
</cp:coreProperties>
</file>

<file path=docProps/custom.xml><?xml version="1.0" encoding="utf-8"?>
<Properties xmlns="http://schemas.openxmlformats.org/officeDocument/2006/custom-properties" xmlns:vt="http://schemas.openxmlformats.org/officeDocument/2006/docPropsVTypes"/>
</file>