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which was not excluded from the screen,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Under the primary prior,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These results do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Because Ji and colleagues also used eQTLGen and FinnGen, agreement is not wholly independent replication. Different MR methods, FinnGen releases and colocalization settings also preclude interpreting differences between reports as direct contradictions.</w:t>
      </w:r>
    </w:p>
    <w:p>
      <w:pPr>
        <w:pStyle w:val="BodyText"/>
      </w:pPr>
      <w:r>
        <w:rPr>
          <w:color w:val="000000"/>
        </w:rPr>
        <w:t xml:space="preserve">Among the other associated genes, 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 [26].</w:t>
      </w:r>
      <w:r>
        <w:rPr>
          <w:color w:val="000000"/>
        </w:rPr>
        <w:t xml:space="preserve"> </w:t>
      </w:r>
      <w:r>
        <w:rPr>
          <w:iCs/>
          <w:i/>
          <w:color w:val="000000"/>
        </w:rPr>
        <w:t xml:space="preserve">HLA-DQA2</w:t>
      </w:r>
      <w:r>
        <w:rPr>
          <w:color w:val="000000"/>
        </w:rPr>
        <w:t xml:space="preserve"> </w:t>
      </w:r>
      <w:r>
        <w:rPr>
          <w:color w:val="000000"/>
        </w:rPr>
        <w:t xml:space="preserve">was discordant only in UKB, where its two instruments disagreed, while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each depended largely on one variant. The strongest BBJ association,</w:t>
      </w:r>
      <w:r>
        <w:rPr>
          <w:color w:val="000000"/>
        </w:rPr>
        <w:t xml:space="preserve"> </w:t>
      </w:r>
      <w:r>
        <w:rPr>
          <w:iCs/>
          <w:i/>
          <w:color w:val="000000"/>
        </w:rPr>
        <w:t xml:space="preserve">HLA-A</w:t>
      </w:r>
      <w:r>
        <w:rPr>
          <w:color w:val="000000"/>
        </w:rPr>
        <w:t xml:space="preserve">, did not persist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identify the most transferable association. Shared instruments, complex MHC linkage and,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absent shared-variant support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the GD-protective allele associated with greater thymic transcription in published studies [27, 28]. This directional consistency is compatible with a central-tolerance explanation, but the thymic step was not tested here, and neither linked variant is a proven causal regulator. The marked departure of the MR ORs from 1 reflects scaling: rs179252 shifts reconstructed blood expression by only about 0.11 SD, and its per-allele disease ORs were 0.80 (BBJ), 0.77 (UKB), 0.78 (FinnGen ophthalmopathy), 0.77 (FinnGen GD) and 0.82 (strict ophthalmopathy). Rescaling these moderate per-allele effects to one SD of expression yields the per-SD ORs, which describe lifelong inherited differences, not the effect of raising</w:t>
      </w:r>
      <w:r>
        <w:rPr>
          <w:color w:val="000000"/>
        </w:rPr>
        <w:t xml:space="preserve"> </w:t>
      </w:r>
      <w:r>
        <w:rPr>
          <w:iCs/>
          <w:i/>
          <w:color w:val="000000"/>
        </w:rPr>
        <w:t xml:space="preserve">TSHR</w:t>
      </w:r>
      <w:r>
        <w:rPr>
          <w:color w:val="000000"/>
        </w:rPr>
        <w:t xml:space="preserve"> </w:t>
      </w:r>
      <w:r>
        <w:rPr>
          <w:color w:val="000000"/>
        </w:rPr>
        <w:t xml:space="preserve">expression or of TSHR-directed treatment. Because the adipose instruments tag the same intron-1 region as rs179252 and are themselves blood eQTLs, their concordant estimates re-express the regional association; they cannot resolve the distinct-variant pattern in UKB and FinnGen GD or establish an adipose-mediated mechanism, and neither depot is orbital fat.</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distinct-variant regional patterns, and BBJ and strict ophthalmopathy support weakened under a lower shared-variant prior. Thus, association strength and shared-variant evidence were not interchangeable, as also seen for the comparator</w:t>
      </w:r>
      <w:r>
        <w:rPr>
          <w:color w:val="000000"/>
        </w:rPr>
        <w:t xml:space="preserve"> </w:t>
      </w:r>
      <w:r>
        <w:rPr>
          <w:iCs/>
          <w:i/>
          <w:color w:val="000000"/>
        </w:rPr>
        <w:t xml:space="preserve">CTLA4</w:t>
      </w:r>
      <w:r>
        <w:rPr>
          <w:color w:val="000000"/>
        </w:rPr>
        <w:t xml:space="preserve"> </w:t>
      </w:r>
      <w:r>
        <w:rPr>
          <w:color w:val="000000"/>
        </w:rPr>
        <w:t xml:space="preserve">in BBJ and FinnGen GD. UKB and FinnGen GD had the most cases of the five datasets; their distinct-variant</w:t>
      </w:r>
      <w:r>
        <w:rPr>
          <w:color w:val="000000"/>
        </w:rPr>
        <w:t xml:space="preserve"> </w:t>
      </w:r>
      <w:r>
        <w:rPr>
          <w:iCs/>
          <w:i/>
          <w:color w:val="000000"/>
        </w:rPr>
        <w:t xml:space="preserve">TSHR</w:t>
      </w:r>
      <w:r>
        <w:rPr>
          <w:color w:val="000000"/>
        </w:rPr>
        <w:t xml:space="preserve"> </w:t>
      </w:r>
      <w:r>
        <w:rPr>
          <w:color w:val="000000"/>
        </w:rPr>
        <w:t xml:space="preserve">patterns could reflect finer resolution of a complex regional architecture, but this was not tested. Ji and colleagues chose a shared-variant prior intended to allow weaker signals to colocalize and accepted PP.H4 above 0.50 [9], whereas our primary settings used p12 = 10</w:t>
      </w:r>
      <w:r>
        <w:rPr>
          <w:color w:val="000000"/>
          <w:vertAlign w:val="superscript"/>
        </w:rPr>
        <w:t xml:space="preserve">−5</w:t>
      </w:r>
      <w:r>
        <w:rPr>
          <w:color w:val="000000"/>
        </w:rPr>
        <w:t xml:space="preserve"> </w:t>
      </w:r>
      <w:r>
        <w:rPr>
          <w:color w:val="000000"/>
        </w:rPr>
        <w:t xml:space="preserve">and PP.H4 ≥ 0.80, so colocalization labels are not directly comparable between the studies.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plausible, but our instruments do not measure receptor cleavage or antibody activity. Because most patients with TED have GD and the ophthalmopathy endpoints used population controls, their MR estimates may largely reflect GD susceptibility rather than a TED-specific effect, and higher colocalization probabilities do not establish one.</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genetic evidence was limited: ORs above 1, two nominal associations, imprecise ophthalmopathy estimates and mostly weak regional disease signals do not establish a susceptibility effect. Some single-variant omissions removed nominal significance, although most left ORs close to the full estimates. The near-null FinnGen GD estimate argues against large, but not modest, blood-expression effects. Thyroid and cultured-fibroblast</w:t>
      </w:r>
      <w:r>
        <w:rPr>
          <w:color w:val="000000"/>
        </w:rPr>
        <w:t xml:space="preserve"> </w:t>
      </w:r>
      <w:r>
        <w:rPr>
          <w:iCs/>
          <w:i/>
          <w:color w:val="000000"/>
        </w:rPr>
        <w:t xml:space="preserve">IGF1R</w:t>
      </w:r>
      <w:r>
        <w:rPr>
          <w:color w:val="000000"/>
        </w:rPr>
        <w:t xml:space="preserve"> </w:t>
      </w:r>
      <w:r>
        <w:rPr>
          <w:color w:val="000000"/>
        </w:rPr>
        <w:t xml:space="preserve">estimates were non-significant and directions were inconsistent across datasets, but single instruments, wide intervals and absent orbital eQTLs leave tissue-specific effects open. Cultured fibroblasts are not orbital fibroblasts, and unestimable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w:t>
      </w:r>
    </w:p>
    <w:p>
      <w:pPr>
        <w:pStyle w:val="BodyText"/>
      </w:pPr>
      <w:r>
        <w:rPr>
          <w:color w:val="000000"/>
        </w:rPr>
        <w:t xml:space="preserve">Frequency substitution preserved the principal findings and changed full-screen classifications only for exploratory</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like instrument omission, it reused the same data and is not independent replication. For research on TSHR and IGF-1R,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expression associations and LD patterns to transfer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using a release excluding Framingham participants, addresses only part of expression reconstruction and does not remove LD-reference limitations or independently validate rare-variant effects. The orbital series, from inactive TED, has a single control and no inferential role. The GTEx extension, also predominantly European, had four estimable combinations, each with one instrument.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[33],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At the discovery threshold, most BBJ genes lacked 80% power for an OR of 1.5, and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with the most precise estimate near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depending on the prior, in BBJ and strict ophthalmopathy, but not in UKB or FinnGen GD, so these data establish association rather than expression-mediated causality.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The population-controlled ophthalmopathy analyses do not estimate TED susceptibility among patients with GD or predict treatment response.</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2026-10-18T05:12:45Z</dcterms:created>
  <dcterms:modified xsi:type="dcterms:W3CDTF">2026-10-18T05:12:45Z</dcterms:modified>
  <cp:lastModifiedBy/>
  <dc:description/>
</cp:coreProperties>
</file>

<file path=docProps/custom.xml><?xml version="1.0" encoding="utf-8"?>
<Properties xmlns="http://schemas.openxmlformats.org/officeDocument/2006/custom-properties" xmlns:vt="http://schemas.openxmlformats.org/officeDocument/2006/docPropsVTypes"/>
</file>