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w:t>
      </w:r>
      <w:r>
        <w:rPr>
          <w:color w:val="000000"/>
          <w:vertAlign w:val="superscript"/>
        </w:rPr>
        <w:t xml:space="preserve">−5</w:t>
      </w:r>
      <w:r>
        <w:rPr>
          <w:color w:val="000000"/>
        </w:rPr>
        <w:t xml:space="preserve">),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and repeated analyses at p12 =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All planned combinations are reported in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patients with inactive TED and one control provided descriptive context only (Supplementary Methods).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2,544 instrumented genes, 2,234 were estimable in BBJ, 2,505 in UKB and 2,480 in each FinnGen endpoint. Unavailable estimates were not counted as negative findings. Thirteen genes met the BBJ discovery threshold (Figure 1):</w:t>
      </w:r>
      <w:r>
        <w:rPr>
          <w:color w:val="000000"/>
        </w:rPr>
        <w:t xml:space="preserve"> </w:t>
      </w:r>
      <w:r>
        <w:rPr>
          <w:iCs/>
          <w:i/>
          <w:color w:val="000000"/>
        </w:rPr>
        <w:t xml:space="preserve">HLA-A</w:t>
      </w:r>
      <w:r>
        <w:rPr>
          <w:color w:val="000000"/>
        </w:rPr>
        <w:t xml:space="preserve">,</w:t>
      </w:r>
      <w:r>
        <w:rPr>
          <w:color w:val="000000"/>
        </w:rPr>
        <w:t xml:space="preserve"> </w:t>
      </w:r>
      <w:r>
        <w:rPr>
          <w:iCs/>
          <w:i/>
          <w:color w:val="000000"/>
        </w:rPr>
        <w:t xml:space="preserve">HLA-DQA2</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HSD3B7</w:t>
      </w:r>
      <w:r>
        <w:rPr>
          <w:color w:val="000000"/>
        </w:rPr>
        <w:t xml:space="preserve">,</w:t>
      </w:r>
      <w:r>
        <w:rPr>
          <w:color w:val="000000"/>
        </w:rPr>
        <w:t xml:space="preserve"> </w:t>
      </w:r>
      <w:r>
        <w:rPr>
          <w:iCs/>
          <w:i/>
          <w:color w:val="000000"/>
        </w:rPr>
        <w:t xml:space="preserve">TUBB</w:t>
      </w:r>
      <w:r>
        <w:rPr>
          <w:color w:val="000000"/>
        </w:rPr>
        <w:t xml:space="preserve">,</w:t>
      </w:r>
      <w:r>
        <w:rPr>
          <w:color w:val="000000"/>
        </w:rPr>
        <w:t xml:space="preserve"> </w:t>
      </w:r>
      <w:r>
        <w:rPr>
          <w:iCs/>
          <w:i/>
          <w:color w:val="000000"/>
        </w:rPr>
        <w:t xml:space="preserve">VKORC1</w:t>
      </w:r>
      <w:r>
        <w:rPr>
          <w:color w:val="000000"/>
        </w:rPr>
        <w:t xml:space="preserve">,</w:t>
      </w:r>
      <w:r>
        <w:rPr>
          <w:color w:val="000000"/>
        </w:rPr>
        <w:t xml:space="preserve"> </w:t>
      </w:r>
      <w:r>
        <w:rPr>
          <w:iCs/>
          <w:i/>
          <w:color w:val="000000"/>
        </w:rPr>
        <w:t xml:space="preserve">TNFSF14</w:t>
      </w:r>
      <w:r>
        <w:rPr>
          <w:color w:val="000000"/>
        </w:rPr>
        <w:t xml:space="preserve">,</w:t>
      </w:r>
      <w:r>
        <w:rPr>
          <w:color w:val="000000"/>
        </w:rPr>
        <w:t xml:space="preserve"> </w:t>
      </w:r>
      <w:r>
        <w:rPr>
          <w:iCs/>
          <w:i/>
          <w:color w:val="000000"/>
        </w:rPr>
        <w:t xml:space="preserve">PRSS36</w:t>
      </w:r>
      <w:r>
        <w:rPr>
          <w:color w:val="000000"/>
        </w:rPr>
        <w:t xml:space="preserve">,</w:t>
      </w:r>
      <w:r>
        <w:rPr>
          <w:color w:val="000000"/>
        </w:rPr>
        <w:t xml:space="preserve"> </w:t>
      </w:r>
      <w:r>
        <w:rPr>
          <w:iCs/>
          <w:i/>
          <w:color w:val="000000"/>
        </w:rPr>
        <w:t xml:space="preserve">MAPKAPK5</w:t>
      </w:r>
      <w:r>
        <w:rPr>
          <w:color w:val="000000"/>
        </w:rPr>
        <w:t xml:space="preserve">,</w:t>
      </w:r>
      <w:r>
        <w:rPr>
          <w:color w:val="000000"/>
        </w:rPr>
        <w:t xml:space="preserve"> </w:t>
      </w:r>
      <w:r>
        <w:rPr>
          <w:iCs/>
          <w:i/>
          <w:color w:val="000000"/>
        </w:rPr>
        <w:t xml:space="preserve">PSMB8</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At the discovery threshold, 14.6% and 35.6% of estimable BBJ genes had 80% power to detect ORs of 1.5 and 2.0 under a normal-approximation benchmark; the corresponding FinnGen GD proportions were 24.8% and 52.2% (BBJ: Supplementary Dataset, Detection_original; FinnGen GD: Supplementary Methods).</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BBJ GD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The same direction was observed for UKB hyperthyroidism (OR 0.09, 95% CI 0.06–0.14;</w:t>
      </w:r>
      <w:r>
        <w:rPr>
          <w:color w:val="000000"/>
        </w:rPr>
        <w:t xml:space="preserve"> </w:t>
      </w:r>
      <w:r>
        <w:rPr>
          <w:iCs/>
          <w:i/>
          <w:color w:val="000000"/>
        </w:rPr>
        <w:t xml:space="preserve">P</w:t>
      </w:r>
      <w:r>
        <w:rPr>
          <w:color w:val="000000"/>
        </w:rPr>
        <w:t xml:space="preserve"> </w:t>
      </w:r>
      <w:r>
        <w:rPr>
          <w:color w:val="000000"/>
        </w:rPr>
        <w:t xml:space="preserve">= 8.77×10</w:t>
      </w:r>
      <w:r>
        <w:rPr>
          <w:color w:val="000000"/>
          <w:vertAlign w:val="superscript"/>
        </w:rPr>
        <w:t xml:space="preserve">−28</w:t>
      </w:r>
      <w:r>
        <w:rPr>
          <w:color w:val="000000"/>
        </w:rPr>
        <w:t xml:space="preserve">), FinnGen ophthalmopathy (OR 0.10, 95% CI 0.04–0.24;</w:t>
      </w:r>
      <w:r>
        <w:rPr>
          <w:color w:val="000000"/>
        </w:rPr>
        <w:t xml:space="preserve"> </w:t>
      </w:r>
      <w:r>
        <w:rPr>
          <w:iCs/>
          <w:i/>
          <w:color w:val="000000"/>
        </w:rPr>
        <w:t xml:space="preserve">P</w:t>
      </w:r>
      <w:r>
        <w:rPr>
          <w:color w:val="000000"/>
        </w:rPr>
        <w:t xml:space="preserve"> </w:t>
      </w:r>
      <w:r>
        <w:rPr>
          <w:color w:val="000000"/>
        </w:rPr>
        <w:t xml:space="preserve">= 2.82×10</w:t>
      </w:r>
      <w:r>
        <w:rPr>
          <w:color w:val="000000"/>
          <w:vertAlign w:val="superscript"/>
        </w:rPr>
        <w:t xml:space="preserve">−7</w:t>
      </w:r>
      <w:r>
        <w:rPr>
          <w:color w:val="000000"/>
        </w:rPr>
        <w:t xml:space="preserve">) and strict ophthalmopathy (OR 0.15, 95% CI 0.06–0.39;</w:t>
      </w:r>
      <w:r>
        <w:rPr>
          <w:color w:val="000000"/>
        </w:rPr>
        <w:t xml:space="preserve"> </w:t>
      </w:r>
      <w:r>
        <w:rPr>
          <w:iCs/>
          <w:i/>
          <w:color w:val="000000"/>
        </w:rPr>
        <w:t xml:space="preserve">P</w:t>
      </w:r>
      <w:r>
        <w:rPr>
          <w:color w:val="000000"/>
        </w:rPr>
        <w:t xml:space="preserve"> </w:t>
      </w:r>
      <w:r>
        <w:rPr>
          <w:color w:val="000000"/>
        </w:rPr>
        <w:t xml:space="preserve">= 9.02×10</w:t>
      </w:r>
      <w:r>
        <w:rPr>
          <w:color w:val="000000"/>
          <w:vertAlign w:val="superscript"/>
        </w:rPr>
        <w:t xml:space="preserve">−5</w:t>
      </w:r>
      <w:r>
        <w:rPr>
          <w:color w:val="000000"/>
        </w:rPr>
        <w:t xml:space="preserve">). All five estimates used rs179252 as the single instrument (Table 2; Figure 2). Only the strict ophthalmopathy estimate missed the full-screen threshold (1.965×10</w:t>
      </w:r>
      <w:r>
        <w:rPr>
          <w:color w:val="000000"/>
          <w:vertAlign w:val="superscript"/>
        </w:rPr>
        <w:t xml:space="preserve">−5</w:t>
      </w:r>
      <w:r>
        <w:rPr>
          <w:color w:val="000000"/>
        </w:rPr>
        <w:t xml:space="preserve">).</w:t>
      </w:r>
    </w:p>
    <w:p>
      <w:pPr>
        <w:pStyle w:val="BodyText"/>
      </w:pPr>
      <w:r>
        <w:rPr>
          <w:color w:val="000000"/>
        </w:rPr>
        <w:t xml:space="preserve">The expression-increasing rs179252-G allele was associated with lower odds in all five disease datasets (per-allele ORs 0.77–0.82) and was positively correlated with rs179247-G in European (r = 0.978; n = 503) and East Asian (r = 0.996; n = 504) reference samples. The latter allele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original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but no association met the full-screen threshold.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reached nominal significance, meaning uncorrected</w:t>
      </w:r>
      <w:r>
        <w:rPr>
          <w:color w:val="000000"/>
        </w:rPr>
        <w:t xml:space="preserve"> </w:t>
      </w:r>
      <w:r>
        <w:rPr>
          <w:iCs/>
          <w:i/>
          <w:color w:val="000000"/>
        </w:rPr>
        <w:t xml:space="preserve">P</w:t>
      </w:r>
      <w:r>
        <w:rPr>
          <w:color w:val="000000"/>
        </w:rPr>
        <w:t xml:space="preserve"> </w:t>
      </w:r>
      <w:r>
        <w:rPr>
          <w:color w:val="000000"/>
        </w:rPr>
        <w:t xml:space="preserve">&lt; 0.05. The FinnGen estimates did not: GD OR 1.07 (95% CI 0.86–1.33;</w:t>
      </w:r>
      <w:r>
        <w:rPr>
          <w:color w:val="000000"/>
        </w:rPr>
        <w:t xml:space="preserve"> </w:t>
      </w:r>
      <w:r>
        <w:rPr>
          <w:iCs/>
          <w:i/>
          <w:color w:val="000000"/>
        </w:rPr>
        <w:t xml:space="preserve">P</w:t>
      </w:r>
      <w:r>
        <w:rPr>
          <w:color w:val="000000"/>
        </w:rPr>
        <w:t xml:space="preserve"> </w:t>
      </w:r>
      <w:r>
        <w:rPr>
          <w:color w:val="000000"/>
        </w:rPr>
        <w:t xml:space="preserve">= 0.539), ophthalmopathy OR 1.41 (95% CI 0.85–2.33;</w:t>
      </w:r>
      <w:r>
        <w:rPr>
          <w:color w:val="000000"/>
        </w:rPr>
        <w:t xml:space="preserve"> </w:t>
      </w:r>
      <w:r>
        <w:rPr>
          <w:iCs/>
          <w:i/>
          <w:color w:val="000000"/>
        </w:rPr>
        <w:t xml:space="preserve">P</w:t>
      </w:r>
      <w:r>
        <w:rPr>
          <w:color w:val="000000"/>
        </w:rPr>
        <w:t xml:space="preserve"> </w:t>
      </w:r>
      <w:r>
        <w:rPr>
          <w:color w:val="000000"/>
        </w:rPr>
        <w:t xml:space="preserve">= 0.182) and strict ophthalmopathy OR 1.52 (95% CI 0.92–2.49;</w:t>
      </w:r>
      <w:r>
        <w:rPr>
          <w:color w:val="000000"/>
        </w:rPr>
        <w:t xml:space="preserve"> </w:t>
      </w:r>
      <w:r>
        <w:rPr>
          <w:iCs/>
          <w:i/>
          <w:color w:val="000000"/>
        </w:rPr>
        <w:t xml:space="preserve">P</w:t>
      </w:r>
      <w:r>
        <w:rPr>
          <w:color w:val="000000"/>
        </w:rPr>
        <w:t xml:space="preserve"> </w:t>
      </w:r>
      <w:r>
        <w:rPr>
          <w:color w:val="000000"/>
        </w:rPr>
        <w:t xml:space="preserve">= 0.0996). The most precise estimate, FinnGen GD, lay close to the null (80% power to detect OR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resembled the IVW results (BBJ 1.56,</w:t>
      </w:r>
      <w:r>
        <w:rPr>
          <w:color w:val="000000"/>
        </w:rPr>
        <w:t xml:space="preserve"> </w:t>
      </w:r>
      <w:r>
        <w:rPr>
          <w:iCs/>
          <w:i/>
          <w:color w:val="000000"/>
        </w:rPr>
        <w:t xml:space="preserve">P</w:t>
      </w:r>
      <w:r>
        <w:rPr>
          <w:color w:val="000000"/>
        </w:rPr>
        <w:t xml:space="preserve"> </w:t>
      </w:r>
      <w:r>
        <w:rPr>
          <w:color w:val="000000"/>
        </w:rPr>
        <w:t xml:space="preserve">= 0.0288; UKB 1.42,</w:t>
      </w:r>
      <w:r>
        <w:rPr>
          <w:color w:val="000000"/>
        </w:rPr>
        <w:t xml:space="preserve"> </w:t>
      </w:r>
      <w:r>
        <w:rPr>
          <w:iCs/>
          <w:i/>
          <w:color w:val="000000"/>
        </w:rPr>
        <w:t xml:space="preserve">P</w:t>
      </w:r>
      <w:r>
        <w:rPr>
          <w:color w:val="000000"/>
        </w:rPr>
        <w:t xml:space="preserve"> </w:t>
      </w:r>
      <w:r>
        <w:rPr>
          <w:color w:val="000000"/>
        </w:rPr>
        <w:t xml:space="preserve">= 0.00244; FinnGen ophthalmopathy 1.46,</w:t>
      </w:r>
      <w:r>
        <w:rPr>
          <w:color w:val="000000"/>
        </w:rPr>
        <w:t xml:space="preserve"> </w:t>
      </w:r>
      <w:r>
        <w:rPr>
          <w:iCs/>
          <w:i/>
          <w:color w:val="000000"/>
        </w:rPr>
        <w:t xml:space="preserve">P</w:t>
      </w:r>
      <w:r>
        <w:rPr>
          <w:color w:val="000000"/>
        </w:rPr>
        <w:t xml:space="preserve"> </w:t>
      </w:r>
      <w:r>
        <w:rPr>
          <w:color w:val="000000"/>
        </w:rPr>
        <w:t xml:space="preserve">= 0.124), whereas MR-Egger and weighted-mode estimates were imprecise (</w:t>
      </w:r>
      <w:r>
        <w:rPr>
          <w:iCs/>
          <w:i/>
          <w:color w:val="000000"/>
        </w:rPr>
        <w:t xml:space="preserve">P</w:t>
      </w:r>
      <w:r>
        <w:rPr>
          <w:color w:val="000000"/>
        </w:rPr>
        <w:t xml:space="preserve"> </w:t>
      </w:r>
      <w:r>
        <w:rPr>
          <w:color w:val="000000"/>
        </w:rPr>
        <w:t xml:space="preserve">≥ 0.32), and MR-Egger intercepts were non-significant (</w:t>
      </w:r>
      <w:r>
        <w:rPr>
          <w:iCs/>
          <w:i/>
          <w:color w:val="000000"/>
        </w:rPr>
        <w:t xml:space="preserve">P</w:t>
      </w:r>
      <w:r>
        <w:rPr>
          <w:color w:val="000000"/>
        </w:rPr>
        <w:t xml:space="preserve"> </w:t>
      </w:r>
      <w:r>
        <w:rPr>
          <w:color w:val="000000"/>
        </w:rPr>
        <w:t xml:space="preserve">= 0.66, 0.56 and 0.43 in BBJ, UKB and FinnGen ophthalmopathy), although these tests have little power with three or four instruments (Supplementary Dataset, MR_estimators_original). Non-significant FinnGen estimates do not establish absence of an association.</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full-screen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 In FinnGen GD,</w:t>
      </w:r>
      <w:r>
        <w:rPr>
          <w:color w:val="000000"/>
        </w:rPr>
        <w:t xml:space="preserve"> </w:t>
      </w:r>
      <w:r>
        <w:rPr>
          <w:iCs/>
          <w:i/>
          <w:color w:val="000000"/>
        </w:rPr>
        <w:t xml:space="preserve">CTLA4</w:t>
      </w:r>
      <w:r>
        <w:rPr>
          <w:color w:val="000000"/>
        </w:rPr>
        <w:t xml:space="preserve"> </w:t>
      </w:r>
      <w:r>
        <w:rPr>
          <w:color w:val="000000"/>
        </w:rPr>
        <w:t xml:space="preserve">was associated with lower odds (OR 0.17, 95% CI 0.08–0.36;</w:t>
      </w:r>
      <w:r>
        <w:rPr>
          <w:color w:val="000000"/>
        </w:rPr>
        <w:t xml:space="preserve"> </w:t>
      </w:r>
      <w:r>
        <w:rPr>
          <w:iCs/>
          <w:i/>
          <w:color w:val="000000"/>
        </w:rPr>
        <w:t xml:space="preserve">P</w:t>
      </w:r>
      <w:r>
        <w:rPr>
          <w:color w:val="000000"/>
        </w:rPr>
        <w:t xml:space="preserve"> </w:t>
      </w:r>
      <w:r>
        <w:rPr>
          <w:color w:val="000000"/>
        </w:rPr>
        <w:t xml:space="preserve">= 2.15×10</w:t>
      </w:r>
      <w:r>
        <w:rPr>
          <w:color w:val="000000"/>
          <w:vertAlign w:val="superscript"/>
        </w:rPr>
        <w:t xml:space="preserve">−6</w:t>
      </w:r>
      <w:r>
        <w:rPr>
          <w:color w:val="000000"/>
        </w:rPr>
        <w:t xml:space="preserve">), whereas</w:t>
      </w:r>
      <w:r>
        <w:rPr>
          <w:color w:val="000000"/>
        </w:rPr>
        <w:t xml:space="preserve"> </w:t>
      </w:r>
      <w:r>
        <w:rPr>
          <w:iCs/>
          <w:i/>
          <w:color w:val="000000"/>
        </w:rPr>
        <w:t xml:space="preserve">HLA-DQA2</w:t>
      </w:r>
      <w:r>
        <w:rPr>
          <w:color w:val="000000"/>
        </w:rPr>
        <w:t xml:space="preserve"> </w:t>
      </w:r>
      <w:r>
        <w:rPr>
          <w:color w:val="000000"/>
        </w:rPr>
        <w:t xml:space="preserve">(OR 1.90, 95% CI 1.64–2.20;</w:t>
      </w:r>
      <w:r>
        <w:rPr>
          <w:color w:val="000000"/>
        </w:rPr>
        <w:t xml:space="preserve"> </w:t>
      </w:r>
      <w:r>
        <w:rPr>
          <w:iCs/>
          <w:i/>
          <w:color w:val="000000"/>
        </w:rPr>
        <w:t xml:space="preserve">P</w:t>
      </w:r>
      <w:r>
        <w:rPr>
          <w:color w:val="000000"/>
        </w:rPr>
        <w:t xml:space="preserve"> </w:t>
      </w:r>
      <w:r>
        <w:rPr>
          <w:color w:val="000000"/>
        </w:rPr>
        <w:t xml:space="preserve">= 1.41×10</w:t>
      </w:r>
      <w:r>
        <w:rPr>
          <w:color w:val="000000"/>
          <w:vertAlign w:val="superscript"/>
        </w:rPr>
        <w:t xml:space="preserve">−17</w:t>
      </w:r>
      <w:r>
        <w:rPr>
          <w:color w:val="000000"/>
        </w:rPr>
        <w:t xml:space="preserve">) and</w:t>
      </w:r>
      <w:r>
        <w:rPr>
          <w:color w:val="000000"/>
        </w:rPr>
        <w:t xml:space="preserve"> </w:t>
      </w:r>
      <w:r>
        <w:rPr>
          <w:iCs/>
          <w:i/>
          <w:color w:val="000000"/>
        </w:rPr>
        <w:t xml:space="preserve">TUBB</w:t>
      </w:r>
      <w:r>
        <w:rPr>
          <w:color w:val="000000"/>
        </w:rPr>
        <w:t xml:space="preserve"> </w:t>
      </w:r>
      <w:r>
        <w:rPr>
          <w:color w:val="000000"/>
        </w:rPr>
        <w:t xml:space="preserve">(OR 3.28, 95% CI 2.09–5.17;</w:t>
      </w:r>
      <w:r>
        <w:rPr>
          <w:color w:val="000000"/>
        </w:rPr>
        <w:t xml:space="preserve"> </w:t>
      </w:r>
      <w:r>
        <w:rPr>
          <w:iCs/>
          <w:i/>
          <w:color w:val="000000"/>
        </w:rPr>
        <w:t xml:space="preserve">P</w:t>
      </w:r>
      <w:r>
        <w:rPr>
          <w:color w:val="000000"/>
        </w:rPr>
        <w:t xml:space="preserve"> </w:t>
      </w:r>
      <w:r>
        <w:rPr>
          <w:color w:val="000000"/>
        </w:rPr>
        <w:t xml:space="preserve">= 2.68×10</w:t>
      </w:r>
      <w:r>
        <w:rPr>
          <w:color w:val="000000"/>
          <w:vertAlign w:val="superscript"/>
        </w:rPr>
        <w:t xml:space="preserve">−7</w:t>
      </w:r>
      <w:r>
        <w:rPr>
          <w:color w:val="000000"/>
        </w:rPr>
        <w:t xml:space="preserve">) were associated with higher odds.</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lie in the major histocompatibility complex (MHC) region.</w:t>
      </w:r>
      <w:r>
        <w:rPr>
          <w:color w:val="000000"/>
        </w:rPr>
        <w:t xml:space="preserve"> </w:t>
      </w:r>
      <w:r>
        <w:rPr>
          <w:iCs/>
          <w:i/>
          <w:color w:val="000000"/>
        </w:rPr>
        <w:t xml:space="preserve">CTLA4</w:t>
      </w:r>
      <w:r>
        <w:rPr>
          <w:color w:val="000000"/>
        </w:rPr>
        <w:t xml:space="preserve">, an established autoimmune locus [26], 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across all five datasets.</w:t>
      </w:r>
      <w:r>
        <w:rPr>
          <w:color w:val="000000"/>
        </w:rPr>
        <w:t xml:space="preserve"> </w:t>
      </w:r>
      <w:r>
        <w:rPr>
          <w:iCs/>
          <w:i/>
          <w:color w:val="000000"/>
        </w:rPr>
        <w:t xml:space="preserve">HLA-DQA2</w:t>
      </w:r>
      <w:r>
        <w:rPr>
          <w:color w:val="000000"/>
        </w:rPr>
        <w:t xml:space="preserve"> </w:t>
      </w:r>
      <w:r>
        <w:rPr>
          <w:color w:val="000000"/>
        </w:rPr>
        <w:t xml:space="preserve">also showed higher-odds associations in both ophthalmopathy endpoints, but the two-instrument UKB estimate was non-significant and in the opposite direction (Supplementary Dataset, MR_primary).</w:t>
      </w:r>
    </w:p>
    <w:p>
      <w:pPr>
        <w:pStyle w:val="BodyText"/>
      </w:pPr>
      <w:r>
        <w:rPr>
          <w:color w:val="000000"/>
        </w:rPr>
        <w:t xml:space="preserve">Using the focused FinnGen GD threshold of</w:t>
      </w:r>
      <w:r>
        <w:rPr>
          <w:color w:val="000000"/>
        </w:rPr>
        <w:t xml:space="preserve"> </w:t>
      </w:r>
      <w:r>
        <w:rPr>
          <w:iCs/>
          <w:i/>
          <w:color w:val="000000"/>
        </w:rPr>
        <w:t xml:space="preserve">P</w:t>
      </w:r>
      <w:r>
        <w:rPr>
          <w:color w:val="000000"/>
        </w:rPr>
        <w:t xml:space="preserve"> </w:t>
      </w:r>
      <w:r>
        <w:rPr>
          <w:color w:val="000000"/>
        </w:rPr>
        <w:t xml:space="preserve">&lt; 0.05/13 (0.00385), seven of the 13 BBJ discoveries had direction-consistent associations: the four genes above plus</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4.97×10</w:t>
      </w:r>
      <w:r>
        <w:rPr>
          <w:color w:val="000000"/>
          <w:vertAlign w:val="superscript"/>
        </w:rPr>
        <w:t xml:space="preserve">−5</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0.00361) and</w:t>
      </w:r>
      <w:r>
        <w:rPr>
          <w:color w:val="000000"/>
        </w:rPr>
        <w:t xml:space="preserve"> </w:t>
      </w:r>
      <w:r>
        <w:rPr>
          <w:iCs/>
          <w:i/>
          <w:color w:val="000000"/>
        </w:rPr>
        <w:t xml:space="preserve">IFNGR1</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0.00330).</w:t>
      </w:r>
      <w:r>
        <w:rPr>
          <w:color w:val="000000"/>
        </w:rPr>
        <w:t xml:space="preserve"> </w:t>
      </w:r>
      <w:r>
        <w:rPr>
          <w:iCs/>
          <w:i/>
          <w:color w:val="000000"/>
        </w:rPr>
        <w:t xml:space="preserve">VKORC1</w:t>
      </w:r>
      <w:r>
        <w:rPr>
          <w:color w:val="000000"/>
        </w:rPr>
        <w:t xml:space="preserve"> </w:t>
      </w:r>
      <w:r>
        <w:rPr>
          <w:color w:val="000000"/>
        </w:rPr>
        <w:t xml:space="preserve">was not estimable in FinnGen GD; the denominator remained 13. Although</w:t>
      </w:r>
      <w:r>
        <w:rPr>
          <w:color w:val="000000"/>
        </w:rPr>
        <w:t xml:space="preserve"> </w:t>
      </w:r>
      <w:r>
        <w:rPr>
          <w:iCs/>
          <w:i/>
          <w:color w:val="000000"/>
        </w:rPr>
        <w:t xml:space="preserve">HLA-A</w:t>
      </w:r>
      <w:r>
        <w:rPr>
          <w:color w:val="000000"/>
        </w:rPr>
        <w:t xml:space="preserve"> </w:t>
      </w:r>
      <w:r>
        <w:rPr>
          <w:color w:val="000000"/>
        </w:rPr>
        <w:t xml:space="preserve">had the smallest BBJ</w:t>
      </w:r>
      <w:r>
        <w:rPr>
          <w:color w:val="000000"/>
        </w:rPr>
        <w:t xml:space="preserve"> </w:t>
      </w:r>
      <w:r>
        <w:rPr>
          <w:iCs/>
          <w:i/>
          <w:color w:val="000000"/>
        </w:rPr>
        <w:t xml:space="preserve">P</w:t>
      </w:r>
      <w:r>
        <w:rPr>
          <w:color w:val="000000"/>
        </w:rPr>
        <w:t xml:space="preserve"> </w:t>
      </w:r>
      <w:r>
        <w:rPr>
          <w:color w:val="000000"/>
        </w:rPr>
        <w:t xml:space="preserve">value (2.60×10</w:t>
      </w:r>
      <w:r>
        <w:rPr>
          <w:color w:val="000000"/>
          <w:vertAlign w:val="superscript"/>
        </w:rPr>
        <w:t xml:space="preserve">−23</w:t>
      </w:r>
      <w:r>
        <w:rPr>
          <w:color w:val="000000"/>
        </w:rPr>
        <w:t xml:space="preserve">), its FinnGen GD association was non-significant (</w:t>
      </w:r>
      <w:r>
        <w:rPr>
          <w:iCs/>
          <w:i/>
          <w:color w:val="000000"/>
        </w:rPr>
        <w:t xml:space="preserve">P</w:t>
      </w:r>
      <w:r>
        <w:rPr>
          <w:color w:val="000000"/>
        </w:rPr>
        <w:t xml:space="preserve"> </w:t>
      </w:r>
      <w:r>
        <w:rPr>
          <w:color w:val="000000"/>
        </w:rPr>
        <w:t xml:space="preserve">= 0.648).</w:t>
      </w:r>
    </w:p>
    <w:p>
      <w:pPr>
        <w:pStyle w:val="BodyText"/>
      </w:pPr>
      <w:r>
        <w:rPr>
          <w:color w:val="000000"/>
        </w:rPr>
        <w:t xml:space="preserve">The exploratory full FinnGen GD screen identified 13 genes, nine outside the BBJ discovery set:</w:t>
      </w:r>
      <w:r>
        <w:rPr>
          <w:color w:val="000000"/>
        </w:rPr>
        <w:t xml:space="preserv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IGLV2-18</w:t>
      </w:r>
      <w:r>
        <w:rPr>
          <w:color w:val="000000"/>
        </w:rPr>
        <w:t xml:space="preserve">,</w:t>
      </w:r>
      <w:r>
        <w:rPr>
          <w:color w:val="000000"/>
        </w:rPr>
        <w:t xml:space="preserve"> </w:t>
      </w:r>
      <w:r>
        <w:rPr>
          <w:iCs/>
          <w:i/>
          <w:color w:val="000000"/>
        </w:rPr>
        <w:t xml:space="preserve">IGLV3-12</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t>
      </w:r>
      <w:r>
        <w:rPr>
          <w:color w:val="000000"/>
        </w:rPr>
        <w:t xml:space="preserve">(Table S1). Two gene pairs each shared one instrument (</w:t>
      </w:r>
      <w:r>
        <w:rPr>
          <w:iCs/>
          <w:i/>
          <w:color w:val="000000"/>
        </w:rPr>
        <w:t xml:space="preserve">APOM</w:t>
      </w:r>
      <w:r>
        <w:rPr>
          <w:color w:val="000000"/>
        </w:rPr>
        <w:t xml:space="preserve"> </w:t>
      </w:r>
      <w:r>
        <w:rPr>
          <w:color w:val="000000"/>
        </w:rPr>
        <w:t xml:space="preserve">and</w:t>
      </w:r>
      <w:r>
        <w:rPr>
          <w:color w:val="000000"/>
        </w:rPr>
        <w:t xml:space="preserve"> </w:t>
      </w:r>
      <w:r>
        <w:rPr>
          <w:iCs/>
          <w:i/>
          <w:color w:val="000000"/>
        </w:rPr>
        <w:t xml:space="preserve">NEU1</w:t>
      </w:r>
      <w:r>
        <w:rPr>
          <w:color w:val="000000"/>
        </w:rPr>
        <w:t xml:space="preserve">, rs3101018;</w:t>
      </w:r>
      <w:r>
        <w:rPr>
          <w:color w:val="000000"/>
        </w:rPr>
        <w:t xml:space="preserve"> </w:t>
      </w:r>
      <w:r>
        <w:rPr>
          <w:iCs/>
          <w:i/>
          <w:color w:val="000000"/>
        </w:rPr>
        <w:t xml:space="preserve">IGLV2-18</w:t>
      </w:r>
      <w:r>
        <w:rPr>
          <w:color w:val="000000"/>
        </w:rPr>
        <w:t xml:space="preserve"> </w:t>
      </w:r>
      <w:r>
        <w:rPr>
          <w:color w:val="000000"/>
        </w:rPr>
        <w:t xml:space="preserve">and</w:t>
      </w:r>
      <w:r>
        <w:rPr>
          <w:color w:val="000000"/>
        </w:rPr>
        <w:t xml:space="preserve"> </w:t>
      </w:r>
      <w:r>
        <w:rPr>
          <w:iCs/>
          <w:i/>
          <w:color w:val="000000"/>
        </w:rPr>
        <w:t xml:space="preserve">IGLV3-12</w:t>
      </w:r>
      <w:r>
        <w:rPr>
          <w:color w:val="000000"/>
        </w:rPr>
        <w:t xml:space="preserve">, rs5759410) and are not independent findings. All but the two</w:t>
      </w:r>
      <w:r>
        <w:rPr>
          <w:color w:val="000000"/>
        </w:rPr>
        <w:t xml:space="preserve"> </w:t>
      </w:r>
      <w:r>
        <w:rPr>
          <w:iCs/>
          <w:i/>
          <w:color w:val="000000"/>
        </w:rPr>
        <w:t xml:space="preserve">IGLV</w:t>
      </w:r>
      <w:r>
        <w:rPr>
          <w:color w:val="000000"/>
        </w:rPr>
        <w:t xml:space="preserve"> </w:t>
      </w:r>
      <w:r>
        <w:rPr>
          <w:color w:val="000000"/>
        </w:rPr>
        <w:t xml:space="preserve">genes were instrumented within the extended MHC region on chromosome 6, which was not excluded from the screen.</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The two-instrument</w:t>
      </w:r>
      <w:r>
        <w:rPr>
          <w:color w:val="000000"/>
        </w:rPr>
        <w:t xml:space="preserve"> </w:t>
      </w:r>
      <w:r>
        <w:rPr>
          <w:iCs/>
          <w:i/>
          <w:color w:val="000000"/>
        </w:rPr>
        <w:t xml:space="preserve">CTLA4</w:t>
      </w:r>
      <w:r>
        <w:rPr>
          <w:color w:val="000000"/>
        </w:rPr>
        <w:t xml:space="preserve"> </w:t>
      </w:r>
      <w:r>
        <w:rPr>
          <w:color w:val="000000"/>
        </w:rPr>
        <w:t xml:space="preserve">estimates depended largely on rs13030124. Omitting it left imprecise estimates in UKB and all three FinnGen endpoints (</w:t>
      </w:r>
      <w:r>
        <w:rPr>
          <w:iCs/>
          <w:i/>
          <w:color w:val="000000"/>
        </w:rPr>
        <w:t xml:space="preserve">P</w:t>
      </w:r>
      <w:r>
        <w:rPr>
          <w:color w:val="000000"/>
        </w:rPr>
        <w:t xml:space="preserve"> </w:t>
      </w:r>
      <w:r>
        <w:rPr>
          <w:color w:val="000000"/>
        </w:rPr>
        <w:t xml:space="preserve">= 0.323–0.972). Heterogeneity was present in FinnGen GD for</w:t>
      </w:r>
      <w:r>
        <w:rPr>
          <w:color w:val="000000"/>
        </w:rPr>
        <w:t xml:space="preserve"> </w:t>
      </w:r>
      <w:r>
        <w:rPr>
          <w:iCs/>
          <w:i/>
          <w:color w:val="000000"/>
        </w:rPr>
        <w:t xml:space="preserve">C4A</w:t>
      </w:r>
      <w:r>
        <w:rPr>
          <w:color w:val="000000"/>
        </w:rPr>
        <w:t xml:space="preserve"> </w:t>
      </w:r>
      <w:r>
        <w:rPr>
          <w:color w:val="000000"/>
        </w:rPr>
        <w:t xml:space="preserve">(Q-test</w:t>
      </w:r>
      <w:r>
        <w:rPr>
          <w:color w:val="000000"/>
        </w:rPr>
        <w:t xml:space="preserve"> </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CTLA4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0.0275) and</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FinnGen GD</w:t>
      </w:r>
      <w:r>
        <w:rPr>
          <w:color w:val="000000"/>
        </w:rPr>
        <w:t xml:space="preserve"> </w:t>
      </w:r>
      <w:r>
        <w:rPr>
          <w:iCs/>
          <w:i/>
          <w:color w:val="000000"/>
        </w:rPr>
        <w:t xml:space="preserve">P</w:t>
      </w:r>
      <w:r>
        <w:rPr>
          <w:color w:val="000000"/>
        </w:rPr>
        <w:t xml:space="preserve"> </w:t>
      </w:r>
      <w:r>
        <w:rPr>
          <w:color w:val="000000"/>
        </w:rPr>
        <w:t xml:space="preserve">to 0.0262 and 0.0471, respectively (Supplementary Dataset, LOO_new_fixed14). In BBJ and UKB, two of the four single-variant omissions removed nominal</w:t>
      </w:r>
      <w:r>
        <w:rPr>
          <w:color w:val="000000"/>
        </w:rPr>
        <w:t xml:space="preserve"> </w:t>
      </w:r>
      <w:r>
        <w:rPr>
          <w:iCs/>
          <w:i/>
          <w:color w:val="000000"/>
        </w:rPr>
        <w:t xml:space="preserve">IGF1R</w:t>
      </w:r>
      <w:r>
        <w:rPr>
          <w:color w:val="000000"/>
        </w:rPr>
        <w:t xml:space="preserve"> </w:t>
      </w:r>
      <w:r>
        <w:rPr>
          <w:color w:val="000000"/>
        </w:rPr>
        <w:t xml:space="preserve">significance: rs2654980 in both (</w:t>
      </w:r>
      <w:r>
        <w:rPr>
          <w:iCs/>
          <w:i/>
          <w:color w:val="000000"/>
        </w:rPr>
        <w:t xml:space="preserve">P</w:t>
      </w:r>
      <w:r>
        <w:rPr>
          <w:color w:val="000000"/>
        </w:rPr>
        <w:t xml:space="preserve"> </w:t>
      </w:r>
      <w:r>
        <w:rPr>
          <w:color w:val="000000"/>
        </w:rPr>
        <w:t xml:space="preserve">= 0.0751 and 0.468), rs59467480 in BBJ (</w:t>
      </w:r>
      <w:r>
        <w:rPr>
          <w:iCs/>
          <w:i/>
          <w:color w:val="000000"/>
        </w:rPr>
        <w:t xml:space="preserve">P</w:t>
      </w:r>
      <w:r>
        <w:rPr>
          <w:color w:val="000000"/>
        </w:rPr>
        <w:t xml:space="preserve"> </w:t>
      </w:r>
      <w:r>
        <w:rPr>
          <w:color w:val="000000"/>
        </w:rPr>
        <w:t xml:space="preserve">= 0.0503) and rs117212126 in UKB (</w:t>
      </w:r>
      <w:r>
        <w:rPr>
          <w:iCs/>
          <w:i/>
          <w:color w:val="000000"/>
        </w:rPr>
        <w:t xml:space="preserve">P</w:t>
      </w:r>
      <w:r>
        <w:rPr>
          <w:color w:val="000000"/>
        </w:rPr>
        <w:t xml:space="preserve"> </w:t>
      </w:r>
      <w:r>
        <w:rPr>
          <w:color w:val="000000"/>
        </w:rPr>
        <w:t xml:space="preserve">= 0.0529). Apart from rs2654980 in UKB (OR 1.16), these omissions left ORs close to the full estimates, with wider intervals (Figure S2; Supplementary Dataset).</w:t>
      </w:r>
    </w:p>
    <w:p>
      <w:pPr>
        <w:pStyle w:val="BodyText"/>
      </w:pPr>
      <w:r>
        <w:rPr>
          <w:color w:val="000000"/>
        </w:rPr>
        <w:t xml:space="preserve">Substituting eQTLGen cohort allele frequencies preserved the original 13 BBJ discoveries and the principal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interpretation (Supplementary Dataset, MR_original_freq and MR_new_freq), but not every exploratory FinnGen classification (Table S2). For</w:t>
      </w:r>
      <w:r>
        <w:rPr>
          <w:color w:val="000000"/>
        </w:rPr>
        <w:t xml:space="preserve"> </w:t>
      </w:r>
      <w:r>
        <w:rPr>
          <w:iCs/>
          <w:i/>
          <w:color w:val="000000"/>
        </w:rPr>
        <w:t xml:space="preserve">C4B</w:t>
      </w:r>
      <w:r>
        <w:rPr>
          <w:color w:val="000000"/>
        </w:rPr>
        <w:t xml:space="preserve"> </w:t>
      </w:r>
      <w:r>
        <w:rPr>
          <w:color w:val="000000"/>
        </w:rPr>
        <w:t xml:space="preserve">in FinnGen GD, the MR</w:t>
      </w:r>
      <w:r>
        <w:rPr>
          <w:color w:val="000000"/>
        </w:rPr>
        <w:t xml:space="preserve"> </w:t>
      </w:r>
      <w:r>
        <w:rPr>
          <w:iCs/>
          <w:i/>
          <w:color w:val="000000"/>
        </w:rPr>
        <w:t xml:space="preserve">P</w:t>
      </w:r>
      <w:r>
        <w:rPr>
          <w:color w:val="000000"/>
        </w:rPr>
        <w:t xml:space="preserve"> </w:t>
      </w:r>
      <w:r>
        <w:rPr>
          <w:color w:val="000000"/>
        </w:rPr>
        <w:t xml:space="preserve">value changed from 1.10×10</w:t>
      </w:r>
      <w:r>
        <w:rPr>
          <w:color w:val="000000"/>
          <w:vertAlign w:val="superscript"/>
        </w:rPr>
        <w:t xml:space="preserve">−5</w:t>
      </w:r>
      <w:r>
        <w:rPr>
          <w:color w:val="000000"/>
        </w:rPr>
        <w:t xml:space="preserve"> </w:t>
      </w:r>
      <w:r>
        <w:rPr>
          <w:color w:val="000000"/>
        </w:rPr>
        <w:t xml:space="preserve">to 1.48×10</w:t>
      </w:r>
      <w:r>
        <w:rPr>
          <w:color w:val="000000"/>
          <w:vertAlign w:val="superscript"/>
        </w:rPr>
        <w:t xml:space="preserve">−4</w:t>
      </w:r>
      <w:r>
        <w:rPr>
          <w:color w:val="000000"/>
        </w:rPr>
        <w:t xml:space="preserve">, crossing the full-screen threshold; both versions had Q-test</w:t>
      </w:r>
      <w:r>
        <w:rPr>
          <w:color w:val="000000"/>
        </w:rPr>
        <w:t xml:space="preserve"> </w:t>
      </w:r>
      <w:r>
        <w:rPr>
          <w:iCs/>
          <w:i/>
          <w:color w:val="000000"/>
        </w:rPr>
        <w:t xml:space="preserve">P</w:t>
      </w:r>
      <w:r>
        <w:rPr>
          <w:color w:val="000000"/>
        </w:rPr>
        <w:t xml:space="preserve"> </w:t>
      </w:r>
      <w:r>
        <w:rPr>
          <w:color w:val="000000"/>
        </w:rPr>
        <w:t xml:space="preserve">&lt; 10</w:t>
      </w:r>
      <w:r>
        <w:rPr>
          <w:color w:val="000000"/>
          <w:vertAlign w:val="superscript"/>
        </w:rPr>
        <w:t xml:space="preserve">−6</w:t>
      </w:r>
      <w:r>
        <w:rPr>
          <w:color w:val="000000"/>
        </w:rPr>
        <w:t xml:space="preserve">. For</w:t>
      </w:r>
      <w:r>
        <w:rPr>
          <w:color w:val="000000"/>
        </w:rPr>
        <w:t xml:space="preserve"> </w:t>
      </w:r>
      <w:r>
        <w:rPr>
          <w:iCs/>
          <w:i/>
          <w:color w:val="000000"/>
        </w:rPr>
        <w:t xml:space="preserve">HLA-G</w:t>
      </w:r>
      <w:r>
        <w:rPr>
          <w:color w:val="000000"/>
        </w:rPr>
        <w:t xml:space="preserve">,</w:t>
      </w:r>
      <w:r>
        <w:rPr>
          <w:color w:val="000000"/>
        </w:rPr>
        <w:t xml:space="preserve"> </w:t>
      </w:r>
      <w:r>
        <w:rPr>
          <w:iCs/>
          <w:i/>
          <w:color w:val="000000"/>
        </w:rPr>
        <w:t xml:space="preserve">P</w:t>
      </w:r>
      <w:r>
        <w:rPr>
          <w:color w:val="000000"/>
        </w:rPr>
        <w:t xml:space="preserve"> </w:t>
      </w:r>
      <w:r>
        <w:rPr>
          <w:color w:val="000000"/>
        </w:rPr>
        <w:t xml:space="preserve">changed from 0.107 to 1.72×10</w:t>
      </w:r>
      <w:r>
        <w:rPr>
          <w:color w:val="000000"/>
          <w:vertAlign w:val="superscript"/>
        </w:rPr>
        <w:t xml:space="preserve">−5</w:t>
      </w:r>
      <w:r>
        <w:rPr>
          <w:color w:val="000000"/>
        </w:rPr>
        <w:t xml:space="preserve"> </w:t>
      </w:r>
      <w:r>
        <w:rPr>
          <w:color w:val="000000"/>
        </w:rPr>
        <w:t xml:space="preserve">as the IVW weight of rs150254595 increased from 21.3% to 58.9%. Omitting this variant left non-significant estimates under either frequency source.</w:t>
      </w:r>
    </w:p>
    <w:bookmarkEnd w:id="31"/>
    <w:bookmarkStart w:id="32" w:name="colocalization"/>
    <w:p>
      <w:pPr>
        <w:pStyle w:val="Heading3"/>
      </w:pPr>
      <w:r>
        <w:rPr>
          <w:color w:val="000000"/>
        </w:rPr>
        <w:t xml:space="preserve">Colocalization</w:t>
      </w:r>
    </w:p>
    <w:p>
      <w:pPr>
        <w:pStyle w:val="FirstParagraph"/>
      </w:pPr>
      <w:r>
        <w:rPr>
          <w:color w:val="000000"/>
        </w:rPr>
        <w:t xml:space="preserve">Regional analyses assessed whether expression and disease signals shared a causal variant (Figures 2 and 3; Table S3). For</w:t>
      </w:r>
      <w:r>
        <w:rPr>
          <w:color w:val="000000"/>
        </w:rPr>
        <w:t xml:space="preserve"> </w:t>
      </w:r>
      <w:r>
        <w:rPr>
          <w:iCs/>
          <w:i/>
          <w:color w:val="000000"/>
        </w:rPr>
        <w:t xml:space="preserve">TSHR</w:t>
      </w:r>
      <w:r>
        <w:rPr>
          <w:color w:val="000000"/>
        </w:rPr>
        <w:t xml:space="preserve">, PP.H4 was 0.951 in BBJ, 0.986 in FinnGen ophthalmopathy and 0.891 in strict ophthalmopathy under the primary prior. It was lower in UKB (0.226) and FinnGen GD (0.264), where PP.H3 was 0.774 and 0.736, respectively. The latter patterns favored distinct variants under the fitted model despite very small MR</w:t>
      </w:r>
      <w:r>
        <w:rPr>
          <w:color w:val="000000"/>
        </w:rPr>
        <w:t xml:space="preserve"> </w:t>
      </w:r>
      <w:r>
        <w:rPr>
          <w:iCs/>
          <w:i/>
          <w:color w:val="000000"/>
        </w:rPr>
        <w:t xml:space="preserve">P</w:t>
      </w:r>
      <w:r>
        <w:rPr>
          <w:color w:val="000000"/>
        </w:rPr>
        <w:t xml:space="preserve"> </w:t>
      </w:r>
      <w:r>
        <w:rPr>
          <w:color w:val="000000"/>
        </w:rPr>
        <w:t xml:space="preserve">values. This discordance persisted in narrower regions and a common five-outcome variant set. The matched analyses retained the regional disease peaks, and all three FinnGen comparisons shared 6,579 variants in the full cis-region. Lowering the shared-variant prior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reduced PP.H4 to 0.875 in FinnGen ophthalmopathy but below 0.80 in BBJ (0.661) and strict ophthalmopathy (0.451).</w:t>
      </w:r>
    </w:p>
    <w:p>
      <w:pPr>
        <w:pStyle w:val="BodyText"/>
      </w:pPr>
      <w:r>
        <w:rPr>
          <w:iCs/>
          <w:i/>
          <w:color w:val="000000"/>
        </w:rPr>
        <w:t xml:space="preserve">IGF1R</w:t>
      </w:r>
      <w:r>
        <w:rPr>
          <w:color w:val="000000"/>
        </w:rPr>
        <w:t xml:space="preserve"> </w:t>
      </w:r>
      <w:r>
        <w:rPr>
          <w:color w:val="000000"/>
        </w:rPr>
        <w:t xml:space="preserve">PP.H4 ranged from 0.010 to 0.404 (UKB); elsewhere, expression-only PP.H2 predominated (0.571–0.731), consistent with weak regional disease signals.</w:t>
      </w:r>
      <w:r>
        <w:rPr>
          <w:color w:val="000000"/>
        </w:rPr>
        <w:t xml:space="preserve"> </w:t>
      </w:r>
      <w:r>
        <w:rPr>
          <w:iCs/>
          <w:i/>
          <w:color w:val="000000"/>
        </w:rPr>
        <w:t xml:space="preserve">CTLA4</w:t>
      </w:r>
      <w:r>
        <w:rPr>
          <w:color w:val="000000"/>
        </w:rPr>
        <w:t xml:space="preserve"> </w:t>
      </w:r>
      <w:r>
        <w:rPr>
          <w:color w:val="000000"/>
        </w:rPr>
        <w:t xml:space="preserve">PP.H4 was 0.201 in BBJ and 0.254 in FinnGen GD, compared with 0.953 in UKB and 0.978 and 0.979 in the two ophthalmopathy endpoints. Neither</w:t>
      </w:r>
      <w:r>
        <w:rPr>
          <w:color w:val="000000"/>
        </w:rPr>
        <w:t xml:space="preserve"> </w:t>
      </w:r>
      <w:r>
        <w:rPr>
          <w:iCs/>
          <w:i/>
          <w:color w:val="000000"/>
        </w:rPr>
        <w:t xml:space="preserve">HLA-DQA2</w:t>
      </w:r>
      <w:r>
        <w:rPr>
          <w:color w:val="000000"/>
        </w:rPr>
        <w:t xml:space="preserve"> </w:t>
      </w:r>
      <w:r>
        <w:rPr>
          <w:color w:val="000000"/>
        </w:rPr>
        <w:t xml:space="preserve">nor</w:t>
      </w:r>
      <w:r>
        <w:rPr>
          <w:color w:val="000000"/>
        </w:rPr>
        <w:t xml:space="preserve"> </w:t>
      </w:r>
      <w:r>
        <w:rPr>
          <w:iCs/>
          <w:i/>
          <w:color w:val="000000"/>
        </w:rPr>
        <w:t xml:space="preserve">TUBB</w:t>
      </w:r>
      <w:r>
        <w:rPr>
          <w:color w:val="000000"/>
        </w:rPr>
        <w:t xml:space="preserve"> </w:t>
      </w:r>
      <w:r>
        <w:rPr>
          <w:color w:val="000000"/>
        </w:rPr>
        <w:t xml:space="preserve">reached PP.H4 of 0.001 in any dataset. None of the 24 assessed genes reached PP.H4 ≥ 0.80 in FinnGen GD.</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had strong BBJ support (0.994 and 0.989) but PP.H4 ≤ 0.313 elsewhere. The nine additional FinnGen discoveries and frequency-sensitive</w:t>
      </w:r>
      <w:r>
        <w:rPr>
          <w:color w:val="000000"/>
        </w:rPr>
        <w:t xml:space="preserve"> </w:t>
      </w:r>
      <w:r>
        <w:rPr>
          <w:iCs/>
          <w:i/>
          <w:color w:val="000000"/>
        </w:rPr>
        <w:t xml:space="preserve">HLA-G</w:t>
      </w:r>
      <w:r>
        <w:rPr>
          <w:color w:val="000000"/>
        </w:rPr>
        <w:t xml:space="preserve"> </w:t>
      </w:r>
      <w:r>
        <w:rPr>
          <w:color w:val="000000"/>
        </w:rPr>
        <w:t xml:space="preserve">lacked strong support in any dataset. Conditional analysis found the three chromosome 16p11.2 discoveries (</w:t>
      </w:r>
      <w:r>
        <w:rPr>
          <w:iCs/>
          <w:i/>
          <w:color w:val="000000"/>
        </w:rPr>
        <w:t xml:space="preserve">HSD3B7</w:t>
      </w:r>
      <w:r>
        <w:rPr>
          <w:color w:val="000000"/>
        </w:rPr>
        <w:t xml:space="preserve">,</w:t>
      </w:r>
      <w:r>
        <w:rPr>
          <w:color w:val="000000"/>
        </w:rPr>
        <w:t xml:space="preserve"> </w:t>
      </w:r>
      <w:r>
        <w:rPr>
          <w:iCs/>
          <w:i/>
          <w:color w:val="000000"/>
        </w:rPr>
        <w:t xml:space="preserve">VKORC1</w:t>
      </w:r>
      <w:r>
        <w:rPr>
          <w:color w:val="000000"/>
        </w:rPr>
        <w:t xml:space="preserve"> </w:t>
      </w:r>
      <w:r>
        <w:rPr>
          <w:color w:val="000000"/>
        </w:rPr>
        <w:t xml:space="preserve">and</w:t>
      </w:r>
      <w:r>
        <w:rPr>
          <w:color w:val="000000"/>
        </w:rPr>
        <w:t xml:space="preserve"> </w:t>
      </w:r>
      <w:r>
        <w:rPr>
          <w:iCs/>
          <w:i/>
          <w:color w:val="000000"/>
        </w:rPr>
        <w:t xml:space="preserve">PRSS36</w:t>
      </w:r>
      <w:r>
        <w:rPr>
          <w:color w:val="000000"/>
        </w:rPr>
        <w:t xml:space="preserve">) compatible with one regional association (Supplementary Methods).</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ten gene–tissue combinations provided a qualifying instrument, each retaining one SNP after clumping (F = 32.1–61.1). Higher genetically proxied</w:t>
      </w:r>
      <w:r>
        <w:rPr>
          <w:color w:val="000000"/>
        </w:rPr>
        <w:t xml:space="preserve"> </w:t>
      </w:r>
      <w:r>
        <w:rPr>
          <w:iCs/>
          <w:i/>
          <w:color w:val="000000"/>
        </w:rPr>
        <w:t xml:space="preserve">TSHR</w:t>
      </w:r>
      <w:r>
        <w:rPr>
          <w:color w:val="000000"/>
        </w:rPr>
        <w:t xml:space="preserve"> </w:t>
      </w:r>
      <w:r>
        <w:rPr>
          <w:color w:val="000000"/>
        </w:rPr>
        <w:t xml:space="preserve">expression in subcutaneous and visceral adipose was associated with lower FinnGen GD odds (OR 0.36, 95% CI 0.31–0.43;</w:t>
      </w:r>
      <w:r>
        <w:rPr>
          <w:color w:val="000000"/>
        </w:rPr>
        <w:t xml:space="preserve"> </w:t>
      </w:r>
      <w:r>
        <w:rPr>
          <w:iCs/>
          <w:i/>
          <w:color w:val="000000"/>
        </w:rPr>
        <w:t xml:space="preserve">P</w:t>
      </w:r>
      <w:r>
        <w:rPr>
          <w:color w:val="000000"/>
        </w:rPr>
        <w:t xml:space="preserve"> </w:t>
      </w:r>
      <w:r>
        <w:rPr>
          <w:color w:val="000000"/>
        </w:rPr>
        <w:t xml:space="preserve">= 1.28×10</w:t>
      </w:r>
      <w:r>
        <w:rPr>
          <w:color w:val="000000"/>
          <w:vertAlign w:val="superscript"/>
        </w:rPr>
        <w:t xml:space="preserve">−34</w:t>
      </w:r>
      <w:r>
        <w:rPr>
          <w:color w:val="000000"/>
        </w:rPr>
        <w:t xml:space="preserve"> </w:t>
      </w:r>
      <w:r>
        <w:rPr>
          <w:color w:val="000000"/>
        </w:rPr>
        <w:t xml:space="preserve">and OR 0.50, 95% CI 0.43–0.58;</w:t>
      </w:r>
      <w:r>
        <w:rPr>
          <w:color w:val="000000"/>
        </w:rPr>
        <w:t xml:space="preserve"> </w:t>
      </w:r>
      <w:r>
        <w:rPr>
          <w:iCs/>
          <w:i/>
          <w:color w:val="000000"/>
        </w:rPr>
        <w:t xml:space="preserve">P</w:t>
      </w:r>
      <w:r>
        <w:rPr>
          <w:color w:val="000000"/>
        </w:rPr>
        <w:t xml:space="preserve"> </w:t>
      </w:r>
      <w:r>
        <w:rPr>
          <w:color w:val="000000"/>
        </w:rPr>
        <w:t xml:space="preserve">= 4.09×10</w:t>
      </w:r>
      <w:r>
        <w:rPr>
          <w:color w:val="000000"/>
          <w:vertAlign w:val="superscript"/>
        </w:rPr>
        <w:t xml:space="preserve">−19</w:t>
      </w:r>
      <w:r>
        <w:rPr>
          <w:color w:val="000000"/>
        </w:rPr>
        <w:t xml:space="preserve">, respectively); BBJ and UKB estimates passed correction. Subcutaneous estimates also passed correction in both ophthalmopathy datasets; visceral estimates did not (</w:t>
      </w:r>
      <w:r>
        <w:rPr>
          <w:iCs/>
          <w:i/>
          <w:color w:val="000000"/>
        </w:rPr>
        <w:t xml:space="preserve">P</w:t>
      </w:r>
      <w:r>
        <w:rPr>
          <w:color w:val="000000"/>
        </w:rPr>
        <w:t xml:space="preserve"> </w:t>
      </w:r>
      <w:r>
        <w:rPr>
          <w:color w:val="000000"/>
        </w:rPr>
        <w:t xml:space="preserve">= 0.0368 and 0.186). The two</w:t>
      </w:r>
      <w:r>
        <w:rPr>
          <w:color w:val="000000"/>
        </w:rPr>
        <w:t xml:space="preserve"> </w:t>
      </w:r>
      <w:r>
        <w:rPr>
          <w:iCs/>
          <w:i/>
          <w:color w:val="000000"/>
        </w:rPr>
        <w:t xml:space="preserve">TSHR</w:t>
      </w:r>
      <w:r>
        <w:rPr>
          <w:color w:val="000000"/>
        </w:rPr>
        <w:t xml:space="preserve"> </w:t>
      </w:r>
      <w:r>
        <w:rPr>
          <w:color w:val="000000"/>
        </w:rPr>
        <w:t xml:space="preserve">instruments, rs12101255 and rs74064796,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themselves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Neither thyroid nor cultured-fibroblast</w:t>
      </w:r>
      <w:r>
        <w:rPr>
          <w:color w:val="000000"/>
        </w:rPr>
        <w:t xml:space="preserve"> </w:t>
      </w:r>
      <w:r>
        <w:rPr>
          <w:iCs/>
          <w:i/>
          <w:color w:val="000000"/>
        </w:rPr>
        <w:t xml:space="preserve">IGF1R</w:t>
      </w:r>
      <w:r>
        <w:rPr>
          <w:color w:val="000000"/>
        </w:rPr>
        <w:t xml:space="preserve"> </w:t>
      </w:r>
      <w:r>
        <w:rPr>
          <w:color w:val="000000"/>
        </w:rPr>
        <w:t xml:space="preserve">estimates reached</w:t>
      </w:r>
      <w:r>
        <w:rPr>
          <w:color w:val="000000"/>
        </w:rPr>
        <w:t xml:space="preserve"> </w:t>
      </w:r>
      <w:r>
        <w:rPr>
          <w:iCs/>
          <w:i/>
          <w:color w:val="000000"/>
        </w:rPr>
        <w:t xml:space="preserve">P</w:t>
      </w:r>
      <w:r>
        <w:rPr>
          <w:color w:val="000000"/>
        </w:rPr>
        <w:t xml:space="preserve"> </w:t>
      </w:r>
      <w:r>
        <w:rPr>
          <w:color w:val="000000"/>
        </w:rPr>
        <w:t xml:space="preserve">&lt; 0.05 in any dataset. Their FinnGen GD estimates were OR 0.76 (thyroid; 95% CI 0.56–1.02;</w:t>
      </w:r>
      <w:r>
        <w:rPr>
          <w:color w:val="000000"/>
        </w:rPr>
        <w:t xml:space="preserve"> </w:t>
      </w:r>
      <w:r>
        <w:rPr>
          <w:iCs/>
          <w:i/>
          <w:color w:val="000000"/>
        </w:rPr>
        <w:t xml:space="preserve">P</w:t>
      </w:r>
      <w:r>
        <w:rPr>
          <w:color w:val="000000"/>
        </w:rPr>
        <w:t xml:space="preserve"> </w:t>
      </w:r>
      <w:r>
        <w:rPr>
          <w:color w:val="000000"/>
        </w:rPr>
        <w:t xml:space="preserve">= 0.0692) and OR 1.11 (fibroblasts; 95% CI 0.89–1.38;</w:t>
      </w:r>
      <w:r>
        <w:rPr>
          <w:color w:val="000000"/>
        </w:rPr>
        <w:t xml:space="preserve"> </w:t>
      </w:r>
      <w:r>
        <w:rPr>
          <w:iCs/>
          <w:i/>
          <w:color w:val="000000"/>
        </w:rPr>
        <w:t xml:space="preserve">P</w:t>
      </w:r>
      <w:r>
        <w:rPr>
          <w:color w:val="000000"/>
        </w:rPr>
        <w:t xml:space="preserve"> </w:t>
      </w:r>
      <w:r>
        <w:rPr>
          <w:color w:val="000000"/>
        </w:rPr>
        <w:t xml:space="preserve">= 0.359); directions were inconsistent across datasets. All 20 estimates and 30 unestimable comparisons are reported (Table S4; Supplementary Dataset, Tissue_extension).</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(Figure S1). With one control from a different fat depot and no significance testing, these observations do not establish differential expression or explain the genetic associations.</w:t>
      </w:r>
    </w:p>
    <w:bookmarkEnd w:id="34"/>
    <w:bookmarkEnd w:id="35"/>
    <w:bookmarkStart w:id="38" w:name="discussion"/>
    <w:p>
      <w:pPr>
        <w:pStyle w:val="Heading2"/>
      </w:pPr>
      <w:r>
        <w:rPr>
          <w:color w:val="000000"/>
        </w:rPr>
        <w:t xml:space="preserve">Discussion</w:t>
      </w:r>
    </w:p>
    <w:p>
      <w:pPr>
        <w:pStyle w:val="FirstParagraph"/>
      </w:pPr>
      <w:r>
        <w:rPr>
          <w:color w:val="000000"/>
        </w:rPr>
        <w:t xml:space="preserve">This study addresses how consistently blood expression-related genetic evidence supports two clinically relevant receptors across GD and related disease definitions.</w:t>
      </w:r>
      <w:r>
        <w:rPr>
          <w:color w:val="000000"/>
        </w:rPr>
        <w:t xml:space="preserve"> </w:t>
      </w:r>
      <w:r>
        <w:rPr>
          <w:iCs/>
          <w:i/>
          <w:color w:val="000000"/>
        </w:rPr>
        <w:t xml:space="preserve">TSHR</w:t>
      </w:r>
      <w:r>
        <w:rPr>
          <w:color w:val="000000"/>
        </w:rPr>
        <w:t xml:space="preserve"> </w:t>
      </w:r>
      <w:r>
        <w:rPr>
          <w:color w:val="000000"/>
        </w:rPr>
        <w:t xml:space="preserve">showed associations with lower disease odds in both GD datasets, with concordant directions in broader hyperthyroidism and ophthalmopathy. All</w:t>
      </w:r>
      <w:r>
        <w:rPr>
          <w:color w:val="000000"/>
        </w:rPr>
        <w:t xml:space="preserve"> </w:t>
      </w:r>
      <w:r>
        <w:rPr>
          <w:iCs/>
          <w:i/>
          <w:color w:val="000000"/>
        </w:rPr>
        <w:t xml:space="preserve">IGF1R</w:t>
      </w:r>
      <w:r>
        <w:rPr>
          <w:color w:val="000000"/>
        </w:rPr>
        <w:t xml:space="preserve"> </w:t>
      </w:r>
      <w:r>
        <w:rPr>
          <w:color w:val="000000"/>
        </w:rPr>
        <w:t xml:space="preserve">ORs exceeded 1, but only the BBJ and UKB estimates reached uncorrected</w:t>
      </w:r>
      <w:r>
        <w:rPr>
          <w:color w:val="000000"/>
        </w:rPr>
        <w:t xml:space="preserve"> </w:t>
      </w:r>
      <w:r>
        <w:rPr>
          <w:iCs/>
          <w:i/>
          <w:color w:val="000000"/>
        </w:rPr>
        <w:t xml:space="preserve">P</w:t>
      </w:r>
      <w:r>
        <w:rPr>
          <w:color w:val="000000"/>
        </w:rPr>
        <w:t xml:space="preserve"> </w:t>
      </w:r>
      <w:r>
        <w:rPr>
          <w:color w:val="000000"/>
        </w:rPr>
        <w:t xml:space="preserve">&lt; 0.05, none met the discovery threshold, and the most precise estimate lay close to the null.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both ophthalmopathy endpoints but favored distinct variants in UKB and FinnGen GD, the two datasets with the most cases. The contribution is a comparison of the reproducibility and limitations of these associations within the same analytical framework. It does not establish a difference in biological importance between the receptors, and statistical significance in one gene but not another is not a formal test of different effects.</w:t>
      </w:r>
    </w:p>
    <w:p>
      <w:pPr>
        <w:pStyle w:val="BodyText"/>
      </w:pPr>
      <w:r>
        <w:rPr>
          <w:color w:val="000000"/>
        </w:rPr>
        <w:t xml:space="preserve">Our findings extend an existing body of genetic evidence. Ji and colleagues had already linked blood</w:t>
      </w:r>
      <w:r>
        <w:rPr>
          <w:color w:val="000000"/>
        </w:rPr>
        <w:t xml:space="preserve"> </w:t>
      </w:r>
      <w:r>
        <w:rPr>
          <w:iCs/>
          <w:i/>
          <w:color w:val="000000"/>
        </w:rPr>
        <w:t xml:space="preserve">TSHR</w:t>
      </w:r>
      <w:r>
        <w:rPr>
          <w:color w:val="000000"/>
        </w:rPr>
        <w:t xml:space="preserve"> </w:t>
      </w:r>
      <w:r>
        <w:rPr>
          <w:color w:val="000000"/>
        </w:rPr>
        <w:t xml:space="preserve">expression to GD in an earlier FinnGen release and reported support in FinnGen ophthalmopathy [9]; recent integrative work has also investigated</w:t>
      </w:r>
      <w:r>
        <w:rPr>
          <w:color w:val="000000"/>
        </w:rPr>
        <w:t xml:space="preserve"> </w:t>
      </w:r>
      <w:r>
        <w:rPr>
          <w:iCs/>
          <w:i/>
          <w:color w:val="000000"/>
        </w:rPr>
        <w:t xml:space="preserve">TSHR</w:t>
      </w:r>
      <w:r>
        <w:rPr>
          <w:color w:val="000000"/>
        </w:rPr>
        <w:t xml:space="preserve"> </w:t>
      </w:r>
      <w:r>
        <w:rPr>
          <w:color w:val="000000"/>
        </w:rPr>
        <w:t xml:space="preserve">in GD and ophthalmopathy [11]. We add a focused comparison with</w:t>
      </w:r>
      <w:r>
        <w:rPr>
          <w:color w:val="000000"/>
        </w:rPr>
        <w:t xml:space="preserve"> </w:t>
      </w:r>
      <w:r>
        <w:rPr>
          <w:iCs/>
          <w:i/>
          <w:color w:val="000000"/>
        </w:rPr>
        <w:t xml:space="preserve">IGF1R</w:t>
      </w:r>
      <w:r>
        <w:rPr>
          <w:color w:val="000000"/>
        </w:rPr>
        <w:t xml:space="preserve">, a GD comparison spanning BBJ and FinnGen, and an assessment of both genes alongside the wider druggable-gene screen. The result is consistent association evidence for</w:t>
      </w:r>
      <w:r>
        <w:rPr>
          <w:color w:val="000000"/>
        </w:rPr>
        <w:t xml:space="preserve"> </w:t>
      </w:r>
      <w:r>
        <w:rPr>
          <w:iCs/>
          <w:i/>
          <w:color w:val="000000"/>
        </w:rPr>
        <w:t xml:space="preserve">TSHR</w:t>
      </w:r>
      <w:r>
        <w:rPr>
          <w:color w:val="000000"/>
        </w:rPr>
        <w:t xml:space="preserve">, limited evidence for</w:t>
      </w:r>
      <w:r>
        <w:rPr>
          <w:color w:val="000000"/>
        </w:rPr>
        <w:t xml:space="preserve"> </w:t>
      </w:r>
      <w:r>
        <w:rPr>
          <w:iCs/>
          <w:i/>
          <w:color w:val="000000"/>
        </w:rPr>
        <w:t xml:space="preserve">IGF1R</w:t>
      </w:r>
      <w:r>
        <w:rPr>
          <w:color w:val="000000"/>
        </w:rPr>
        <w:t xml:space="preserve">, and an explicit distinction between strong MR associations and variable regional support for expression-mediated causality. This comparison uses shared public resources, including eQTLGen and FinnGen, so agreement with earlier work is not wholly independent replication. Different MR methods, FinnGen releases and colocalization settings also preclude interpreting differences between reports as direct contradictions. Our additional evidence concerns the consistency and sensitivity of the associations, rather than discovery of a new susceptibility locus.</w:t>
      </w:r>
    </w:p>
    <w:p>
      <w:pPr>
        <w:pStyle w:val="BodyText"/>
      </w:pPr>
      <w:r>
        <w:rPr>
          <w:color w:val="000000"/>
        </w:rPr>
        <w:t xml:space="preserve">The other associated genes provide useful context for this central comparison.</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accompanied</w:t>
      </w:r>
      <w:r>
        <w:rPr>
          <w:color w:val="000000"/>
        </w:rPr>
        <w:t xml:space="preserve"> </w:t>
      </w:r>
      <w:r>
        <w:rPr>
          <w:iCs/>
          <w:i/>
          <w:color w:val="000000"/>
        </w:rPr>
        <w:t xml:space="preserve">TSHR</w:t>
      </w:r>
      <w:r>
        <w:rPr>
          <w:color w:val="000000"/>
        </w:rPr>
        <w:t xml:space="preserve"> </w:t>
      </w:r>
      <w:r>
        <w:rPr>
          <w:color w:val="000000"/>
        </w:rPr>
        <w:t xml:space="preserve">among genes meeting the full-screen threshold in both GD datasets. 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w:t>
      </w:r>
      <w:r>
        <w:rPr>
          <w:color w:val="000000"/>
        </w:rPr>
        <w:t xml:space="preserve"> </w:t>
      </w:r>
      <w:r>
        <w:rPr>
          <w:iCs/>
          <w:i/>
          <w:color w:val="000000"/>
        </w:rPr>
        <w:t xml:space="preserve">CTLA4</w:t>
      </w:r>
      <w:r>
        <w:rPr>
          <w:color w:val="000000"/>
        </w:rPr>
        <w:t xml:space="preserve">’s direction-consistent associations across all five outcomes support its use as an autoimmune comparator.</w:t>
      </w:r>
      <w:r>
        <w:rPr>
          <w:color w:val="000000"/>
        </w:rPr>
        <w:t xml:space="preserve"> </w:t>
      </w:r>
      <w:r>
        <w:rPr>
          <w:iCs/>
          <w:i/>
          <w:color w:val="000000"/>
        </w:rPr>
        <w:t xml:space="preserve">HLA-DQA2</w:t>
      </w:r>
      <w:r>
        <w:rPr>
          <w:color w:val="000000"/>
        </w:rPr>
        <w:t xml:space="preserve"> </w:t>
      </w:r>
      <w:r>
        <w:rPr>
          <w:color w:val="000000"/>
        </w:rPr>
        <w:t xml:space="preserve">was consistent across GD and ophthalmopathy definitions but not UKB hyperthyroidism, while</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showed substantial instrument heterogeneity. The strongest BBJ association,</w:t>
      </w:r>
      <w:r>
        <w:rPr>
          <w:color w:val="000000"/>
        </w:rPr>
        <w:t xml:space="preserve"> </w:t>
      </w:r>
      <w:r>
        <w:rPr>
          <w:iCs/>
          <w:i/>
          <w:color w:val="000000"/>
        </w:rPr>
        <w:t xml:space="preserve">HLA-A</w:t>
      </w:r>
      <w:r>
        <w:rPr>
          <w:color w:val="000000"/>
        </w:rPr>
        <w:t xml:space="preserve">, did not persist in FinnGen GD, illustrating why a smaller discovery</w:t>
      </w:r>
      <w:r>
        <w:rPr>
          <w:color w:val="000000"/>
        </w:rPr>
        <w:t xml:space="preserve"> </w:t>
      </w:r>
      <w:r>
        <w:rPr>
          <w:iCs/>
          <w:i/>
          <w:color w:val="000000"/>
        </w:rPr>
        <w:t xml:space="preserve">P</w:t>
      </w:r>
      <w:r>
        <w:rPr>
          <w:color w:val="000000"/>
        </w:rPr>
        <w:t xml:space="preserve"> </w:t>
      </w:r>
      <w:r>
        <w:rPr>
          <w:color w:val="000000"/>
        </w:rPr>
        <w:t xml:space="preserve">value does not necessarily identify a more transferable gene-specific association. Shared instruments and complex MHC linkage further prevent counting every associated expression trait as an independent causal target.</w:t>
      </w:r>
    </w:p>
    <w:p>
      <w:pPr>
        <w:pStyle w:val="BodyText"/>
      </w:pPr>
      <w:r>
        <w:rPr>
          <w:color w:val="000000"/>
        </w:rPr>
        <w:t xml:space="preserve">The lower-odds direction for</w:t>
      </w:r>
      <w:r>
        <w:rPr>
          <w:color w:val="000000"/>
        </w:rPr>
        <w:t xml:space="preserve"> </w:t>
      </w:r>
      <w:r>
        <w:rPr>
          <w:iCs/>
          <w:i/>
          <w:color w:val="000000"/>
        </w:rPr>
        <w:t xml:space="preserve">TSHR</w:t>
      </w:r>
      <w:r>
        <w:rPr>
          <w:color w:val="000000"/>
        </w:rPr>
        <w:t xml:space="preserve"> </w:t>
      </w:r>
      <w:r>
        <w:rPr>
          <w:color w:val="000000"/>
        </w:rPr>
        <w:t xml:space="preserve">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in both reference populations. The latter is the GD-protective allele associated with greater thymic transcription in published studies [27, 28] and also increased blood expression in eQTLGen. This directional consistency is compatible with a central-tolerance explanation, but the thymic step was not tested here, and this consistency does not demonstrate that thymic expression mediates the disease association. These linked variants are not independent replications or proven causal regulators. The marked departure of the MR ORs from 1 reflects scaling: rs179252 shifts reconstructed blood expression by only about 0.11 SD, and its per-allele disease ORs were 0.80 (BBJ), 0.77 (UKB), 0.78 (FinnGen ophthalmopathy), 0.77 (FinnGen GD) and 0.82 (strict ophthalmopathy). Dividing these moderate per-allele effects by the small expression effect yields the per-SD ORs, which should not be translated into the effect of experimentally increasing</w:t>
      </w:r>
      <w:r>
        <w:rPr>
          <w:color w:val="000000"/>
        </w:rPr>
        <w:t xml:space="preserve"> </w:t>
      </w:r>
      <w:r>
        <w:rPr>
          <w:iCs/>
          <w:i/>
          <w:color w:val="000000"/>
        </w:rPr>
        <w:t xml:space="preserve">TSHR</w:t>
      </w:r>
      <w:r>
        <w:rPr>
          <w:color w:val="000000"/>
        </w:rPr>
        <w:t xml:space="preserve"> </w:t>
      </w:r>
      <w:r>
        <w:rPr>
          <w:color w:val="000000"/>
        </w:rPr>
        <w:t xml:space="preserve">expression. The adipose instruments tag the same intron-1 region as rs179252 and are themselves blood eQTLs, so their concordant estimates re-express this regional association. They cannot address the distinct-variant pattern in UKB and FinnGen GD, establish an adipose-mediated mechanism or provide independent causal replication.</w:t>
      </w:r>
    </w:p>
    <w:p>
      <w:pPr>
        <w:pStyle w:val="BodyText"/>
      </w:pPr>
      <w:r>
        <w:rPr>
          <w:color w:val="000000"/>
        </w:rPr>
        <w:t xml:space="preserve">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relevant, but they do not show that an A-subunit shed by human orbital fibroblasts, acting alone, causes TED independently of GD. Our instruments do not measure receptor cleavage or antibody activity. The ophthalmopathy comparisons use population controls and overlapping FinnGen endpoints, so neither their MR estimates nor their higher colocalization probabilities establish a TED-specific effect within GD or a difference between GD and TED.</w:t>
      </w:r>
    </w:p>
    <w:p>
      <w:pPr>
        <w:pStyle w:val="BodyText"/>
      </w:pPr>
      <w:r>
        <w:rPr>
          <w:color w:val="000000"/>
        </w:rPr>
        <w:t xml:space="preserve">For</w:t>
      </w:r>
      <w:r>
        <w:rPr>
          <w:color w:val="000000"/>
        </w:rPr>
        <w:t xml:space="preserve"> </w:t>
      </w:r>
      <w:r>
        <w:rPr>
          <w:iCs/>
          <w:i/>
          <w:color w:val="000000"/>
        </w:rPr>
        <w:t xml:space="preserve">IGF1R</w:t>
      </w:r>
      <w:r>
        <w:rPr>
          <w:color w:val="000000"/>
        </w:rPr>
        <w:t xml:space="preserve">, the defensible conclusion is that blood expression-related genetic evidence was limited in this analysis. Concordant ORs above 1 are worth reporting, but the two nominal associations and the imprecise ophthalmopathy estimates do not establish a confirmed susceptibility effect. Loss of nominal significance after omitting single variants further limits confidence in the original estimates, although instrument removal also reduces precision. With 80% power at</w:t>
      </w:r>
      <w:r>
        <w:rPr>
          <w:color w:val="000000"/>
        </w:rPr>
        <w:t xml:space="preserve"> </w:t>
      </w:r>
      <w:r>
        <w:rPr>
          <w:iCs/>
          <w:i/>
          <w:color w:val="000000"/>
        </w:rPr>
        <w:t xml:space="preserve">P</w:t>
      </w:r>
      <w:r>
        <w:rPr>
          <w:color w:val="000000"/>
        </w:rPr>
        <w:t xml:space="preserve"> </w:t>
      </w:r>
      <w:r>
        <w:rPr>
          <w:color w:val="000000"/>
        </w:rPr>
        <w:t xml:space="preserve">&lt; 0.05, the FinnGen GD analysis could detect an</w:t>
      </w:r>
      <w:r>
        <w:rPr>
          <w:color w:val="000000"/>
        </w:rPr>
        <w:t xml:space="preserve"> </w:t>
      </w:r>
      <w:r>
        <w:rPr>
          <w:iCs/>
          <w:i/>
          <w:color w:val="000000"/>
        </w:rPr>
        <w:t xml:space="preserve">IGF1R</w:t>
      </w:r>
      <w:r>
        <w:rPr>
          <w:color w:val="000000"/>
        </w:rPr>
        <w:t xml:space="preserve"> </w:t>
      </w:r>
      <w:r>
        <w:rPr>
          <w:color w:val="000000"/>
        </w:rPr>
        <w:t xml:space="preserve">OR of about 1.36, so it constrains larger blood-expression effects but not modest ones. The fixed-panel extension found no nominal association for thyroid or cultured-fibroblast</w:t>
      </w:r>
      <w:r>
        <w:rPr>
          <w:color w:val="000000"/>
        </w:rPr>
        <w:t xml:space="preserve"> </w:t>
      </w:r>
      <w:r>
        <w:rPr>
          <w:iCs/>
          <w:i/>
          <w:color w:val="000000"/>
        </w:rPr>
        <w:t xml:space="preserve">IGF1R</w:t>
      </w:r>
      <w:r>
        <w:rPr>
          <w:color w:val="000000"/>
        </w:rPr>
        <w:t xml:space="preserve">, and directions were inconsistent across datasets. The confidence intervals, single-instrument design and lack of orbital eQTLs preclude excluding a clinically relevant effect. Cultured fibroblasts are not orbital fibroblasts, and the unestimable tissue combinations are not negative findings.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efficacy rests on a randomized trial in active TED [3], and experimental TSHR–IGF-1R crosstalk [5] concerns receptor signaling rather than inherited susceptibility. The results do not demonstrate that</w:t>
      </w:r>
      <w:r>
        <w:rPr>
          <w:color w:val="000000"/>
        </w:rPr>
        <w:t xml:space="preserve"> </w:t>
      </w:r>
      <w:r>
        <w:rPr>
          <w:iCs/>
          <w:i/>
          <w:color w:val="000000"/>
        </w:rPr>
        <w:t xml:space="preserve">IGF1R</w:t>
      </w:r>
      <w:r>
        <w:rPr>
          <w:color w:val="000000"/>
        </w:rPr>
        <w:t xml:space="preserve"> </w:t>
      </w:r>
      <w:r>
        <w:rPr>
          <w:color w:val="000000"/>
        </w:rPr>
        <w:t xml:space="preserve">acts only downstream, or that an association would necessarily become detectable using orbital tissue. The small descriptive orbital series cannot resolve either question.</w:t>
      </w:r>
    </w:p>
    <w:p>
      <w:pPr>
        <w:pStyle w:val="BodyText"/>
      </w:pPr>
      <w:r>
        <w:rPr>
          <w:color w:val="000000"/>
        </w:rPr>
        <w:t xml:space="preserve">Colocalization does not replace the MR associations, but it constrains causal wording. Strong</w:t>
      </w:r>
      <w:r>
        <w:rPr>
          <w:color w:val="000000"/>
        </w:rPr>
        <w:t xml:space="preserve"> </w:t>
      </w:r>
      <w:r>
        <w:rPr>
          <w:iCs/>
          <w:i/>
          <w:color w:val="000000"/>
        </w:rPr>
        <w:t xml:space="preserve">TSHR</w:t>
      </w:r>
      <w:r>
        <w:rPr>
          <w:color w:val="000000"/>
        </w:rPr>
        <w:t xml:space="preserve"> </w:t>
      </w:r>
      <w:r>
        <w:rPr>
          <w:color w:val="000000"/>
        </w:rPr>
        <w:t xml:space="preserve">associations in UKB and FinnGen GD coexisted with H3-dominant regional patterns, and BBJ and strict ophthalmopathy support weakened under a lower shared-variant prior. Thus, association strength and evidence for a shared causal variant were not interchangeable. UKB and FinnGen GD had the most cases of the five datasets; their distinct-variant patterns could reflect finer resolution of a complex regional architecture rather than weaker association, but this was not tested. Ji and colleagues chose a shared-variant prior intended to allow weaker signals to colocalize and accepted PP.H4 above 0.50 [9], whereas our primary settings used p12 = 10</w:t>
      </w:r>
      <w:r>
        <w:rPr>
          <w:color w:val="000000"/>
          <w:vertAlign w:val="superscript"/>
        </w:rPr>
        <w:t xml:space="preserve">−5</w:t>
      </w:r>
      <w:r>
        <w:rPr>
          <w:color w:val="000000"/>
        </w:rPr>
        <w:t xml:space="preserve"> </w:t>
      </w:r>
      <w:r>
        <w:rPr>
          <w:color w:val="000000"/>
        </w:rPr>
        <w:t xml:space="preserve">and PP.H4 ≥ 0.80. These differences further discourage comparing binary colocalization labels across studies without considering the model settings. Single-causal-variant assumptions, ancestry differences and signal coverage can affect these posterior probabilities, particularly in complex immune regions. The regional checks excluded a simple missing-peak explanation for</w:t>
      </w:r>
      <w:r>
        <w:rPr>
          <w:color w:val="000000"/>
        </w:rPr>
        <w:t xml:space="preserve"> </w:t>
      </w:r>
      <w:r>
        <w:rPr>
          <w:iCs/>
          <w:i/>
          <w:color w:val="000000"/>
        </w:rPr>
        <w:t xml:space="preserve">TSHR</w:t>
      </w:r>
      <w:r>
        <w:rPr>
          <w:color w:val="000000"/>
        </w:rPr>
        <w:t xml:space="preserve"> </w:t>
      </w:r>
      <w:r>
        <w:rPr>
          <w:color w:val="000000"/>
        </w:rPr>
        <w:t xml:space="preserve">but did not establish the correct causal architecture.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strong MR findings without shared-variant support warrant reporting as associated signals rather than validated expression targets. Multi-signal analysis could clarify some discordance [33], but low PP.H4 neither erases a disease association nor by itself proves that the modeled expression has no causal role.</w:t>
      </w:r>
    </w:p>
    <w:p>
      <w:pPr>
        <w:pStyle w:val="BodyText"/>
      </w:pPr>
      <w:r>
        <w:rPr>
          <w:color w:val="000000"/>
        </w:rPr>
        <w:t xml:space="preserve">The sensitivity analyses identify which qualifications matter for the central comparison. Frequency substitution preserved the original BBJ discovery set, whereas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changed significance classifications through altered effect scaling and instrument weighting. Instrument omission identified concentrated evidence for</w:t>
      </w:r>
      <w:r>
        <w:rPr>
          <w:color w:val="000000"/>
        </w:rPr>
        <w:t xml:space="preserve"> </w:t>
      </w:r>
      <w:r>
        <w:rPr>
          <w:iCs/>
          <w:i/>
          <w:color w:val="000000"/>
        </w:rPr>
        <w:t xml:space="preserve">CTLA4</w:t>
      </w:r>
      <w:r>
        <w:rPr>
          <w:color w:val="000000"/>
        </w:rPr>
        <w:t xml:space="preserve"> </w:t>
      </w:r>
      <w:r>
        <w:rPr>
          <w:color w:val="000000"/>
        </w:rPr>
        <w:t xml:space="preserve">and reduced statistical support for</w:t>
      </w:r>
      <w:r>
        <w:rPr>
          <w:color w:val="000000"/>
        </w:rPr>
        <w:t xml:space="preserve"> </w:t>
      </w:r>
      <w:r>
        <w:rPr>
          <w:iCs/>
          <w:i/>
          <w:color w:val="000000"/>
        </w:rPr>
        <w:t xml:space="preserve">IGF1R</w:t>
      </w:r>
      <w:r>
        <w:rPr>
          <w:color w:val="000000"/>
        </w:rPr>
        <w:t xml:space="preserve">. These checks reuse the same data and do not supply independent replication. For researchers evaluating TSHR and IGF-1R, the added answer is that blood expression-related associations are more consistently supported for</w:t>
      </w:r>
      <w:r>
        <w:rPr>
          <w:color w:val="000000"/>
        </w:rPr>
        <w:t xml:space="preserve"> </w:t>
      </w:r>
      <w:r>
        <w:rPr>
          <w:iCs/>
          <w:i/>
          <w:color w:val="000000"/>
        </w:rPr>
        <w:t xml:space="preserve">TSHR</w:t>
      </w:r>
      <w:r>
        <w:rPr>
          <w:color w:val="000000"/>
        </w:rPr>
        <w:t xml:space="preserve">, while its tissue mechanism and the extent of an inherited</w:t>
      </w:r>
      <w:r>
        <w:rPr>
          <w:color w:val="000000"/>
        </w:rPr>
        <w:t xml:space="preserve"> </w:t>
      </w:r>
      <w:r>
        <w:rPr>
          <w:iCs/>
          <w:i/>
          <w:color w:val="000000"/>
        </w:rPr>
        <w:t xml:space="preserve">IGF1R</w:t>
      </w:r>
      <w:r>
        <w:rPr>
          <w:color w:val="000000"/>
        </w:rPr>
        <w:t xml:space="preserve"> </w:t>
      </w:r>
      <w:r>
        <w:rPr>
          <w:color w:val="000000"/>
        </w:rPr>
        <w:t xml:space="preserve">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bookmarkStart w:id="36" w:name="limitations"/>
    <w:p>
      <w:pPr>
        <w:pStyle w:val="Heading3"/>
      </w:pPr>
      <w:r>
        <w:rPr>
          <w:color w:val="000000"/>
        </w:rPr>
        <w:t xml:space="preserve">Limitations</w:t>
      </w:r>
    </w:p>
    <w:p>
      <w:pPr>
        <w:pStyle w:val="FirstParagraph"/>
      </w:pPr>
      <w:r>
        <w:rPr>
          <w:color w:val="000000"/>
        </w:rPr>
        <w:t xml:space="preserve">The principal limitations involve the exposure and phenotype definitions. Predominantly European blood eQTL effects were applied to BBJ, requiring transferability of expression associations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which uses a release excluding Framingham participants, addresses only part of expression reconstruction. It does not establish correct tissue specificity, remove LD-reference limitations or independently validate rare-variant effects. The orbital series has a single control, no external replication and no inferential role. The GTEx extension had four estimable combinations, each with one instrument, and predominantly European rather than ancestry-homogeneous exposure data. It reused the disease datasets and lacked tissue-specific regional colocalization.</w:t>
      </w:r>
    </w:p>
    <w:p>
      <w:pPr>
        <w:pStyle w:val="BodyText"/>
      </w:pPr>
      <w:r>
        <w:rPr>
          <w:color w:val="000000"/>
        </w:rPr>
        <w:t xml:space="preserve">The analytical limitations include post hoc selection, few instruments and a single-causal-variant colocalization model.</w:t>
      </w:r>
      <w:r>
        <w:rPr>
          <w:color w:val="000000"/>
        </w:rPr>
        <w:t xml:space="preserve"> </w:t>
      </w:r>
      <w:r>
        <w:rPr>
          <w:iCs/>
          <w:i/>
          <w:color w:val="000000"/>
        </w:rPr>
        <w:t xml:space="preserve">TSHR</w:t>
      </w:r>
      <w:r>
        <w:rPr>
          <w:color w:val="000000"/>
        </w:rPr>
        <w:t xml:space="preserve"> </w:t>
      </w:r>
      <w:r>
        <w:rPr>
          <w:color w:val="000000"/>
        </w:rPr>
        <w:t xml:space="preserve">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Neither a non-significant MR result nor a posterior below 0.80 establishes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showed strong, directionally consistent associations with lower odds of GD and related phenotypes, whereas</w:t>
      </w:r>
      <w:r>
        <w:rPr>
          <w:color w:val="000000"/>
        </w:rPr>
        <w:t xml:space="preserve"> </w:t>
      </w:r>
      <w:r>
        <w:rPr>
          <w:iCs/>
          <w:i/>
          <w:color w:val="000000"/>
        </w:rPr>
        <w:t xml:space="preserve">IGF1R</w:t>
      </w:r>
      <w:r>
        <w:rPr>
          <w:color w:val="000000"/>
        </w:rPr>
        <w:t xml:space="preserve"> </w:t>
      </w:r>
      <w:r>
        <w:rPr>
          <w:color w:val="000000"/>
        </w:rPr>
        <w:t xml:space="preserve">evidence was weaker and imprecise.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the ophthalmopathy endpoints, partly prior-dependently, but not in UKB or FinnGen GD, so these data establish association rather than expression-mediated causality. Single-variant adipose instruments from the same locus added concordant estimates but not independent tissue evidence.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the therapeutic relevance of IGF-1R blockade. Experimental TSHR autoimmunity provides biological context for orbital involvement, but this study does not establish that pathway or isolate TED susceptibility within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2026-10-16T11:17:24Z</dcterms:created>
  <dcterms:modified xsi:type="dcterms:W3CDTF">2026-10-16T11:17:24Z</dcterms:modified>
  <cp:lastModifiedBy/>
  <dc:description/>
</cp:coreProperties>
</file>

<file path=docProps/custom.xml><?xml version="1.0" encoding="utf-8"?>
<Properties xmlns="http://schemas.openxmlformats.org/officeDocument/2006/custom-properties" xmlns:vt="http://schemas.openxmlformats.org/officeDocument/2006/docPropsVTypes"/>
</file>