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for shared expression–disease variants. Disease outcomes were Biobank Japan (BBJ) GD, UK Biobank (UKB) hyperthyroidism and FinnGen Graves ophthalmopathy. In-house orbital RNA sequencing (four TED patients, one control) was described without significance testing.</w:t>
      </w:r>
      <w:r>
        <w:t xml:space="preserve"> </w:t>
      </w:r>
      <w:r>
        <w:rPr>
          <w:bCs/>
          <w:b/>
        </w:rPr>
        <w:t xml:space="preserve">Results:</w:t>
      </w:r>
      <w:r>
        <w:t xml:space="preserve"> </w:t>
      </w:r>
      <w:r>
        <w:t xml:space="preserve">Thirteen genes met the BBJ discovery threshold (</w:t>
      </w:r>
      <w:r>
        <w:rPr>
          <w:iCs/>
          <w:i/>
        </w:rPr>
        <w:t xml:space="preserve">P</w:t>
      </w:r>
      <w:r>
        <w:t xml:space="preserve"> </w:t>
      </w:r>
      <w:r>
        <w:t xml:space="preserve">&lt; 0.05/2,544). Higher genetically proxied</w:t>
      </w:r>
      <w:r>
        <w:t xml:space="preserve"> </w:t>
      </w:r>
      <w:r>
        <w:rPr>
          <w:iCs/>
          <w:i/>
        </w:rPr>
        <w:t xml:space="preserve">TSHR</w:t>
      </w:r>
      <w:r>
        <w:t xml:space="preserve"> </w:t>
      </w:r>
      <w:r>
        <w:t xml:space="preserve">expression was associated with lower BBJ GD odds (odds ratio [OR] per approximately one standard deviation 0.12, 95% confidence interval [CI] 0.07–0.21;</w:t>
      </w:r>
      <w:r>
        <w:t xml:space="preserve"> </w:t>
      </w:r>
      <w:r>
        <w:rPr>
          <w:iCs/>
          <w:i/>
        </w:rPr>
        <w:t xml:space="preserve">P</w:t>
      </w:r>
      <w:r>
        <w:t xml:space="preserve"> </w:t>
      </w:r>
      <w:r>
        <w:t xml:space="preserve">= 1.09×10⁻¹⁴), with matching directions in UKB and FinnGen. Shared-variant posterior probability exceeded 0.80 in BBJ and FinnGen but not UKB; BBJ support fell below 0.80 when the prior was lowered from 10⁻⁵ to 10⁻⁶.</w:t>
      </w:r>
      <w:r>
        <w:t xml:space="preserve"> </w:t>
      </w:r>
      <w:r>
        <w:rPr>
          <w:iCs/>
          <w:i/>
        </w:rPr>
        <w:t xml:space="preserve">IGF1R</w:t>
      </w:r>
      <w:r>
        <w:t xml:space="preserve"> </w:t>
      </w:r>
      <w:r>
        <w:t xml:space="preserve">missed the discovery threshold, and its shared-variant probability stayed below 0.80 in every outcome;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met the combined BBJ–FinnGen criterion. Cohort-frequency substitution preserved these findings. Mean orbital</w:t>
      </w:r>
      <w:r>
        <w:t xml:space="preserve"> </w:t>
      </w:r>
      <w:r>
        <w:rPr>
          <w:iCs/>
          <w:i/>
        </w:rPr>
        <w:t xml:space="preserve">TSHR</w:t>
      </w:r>
      <w:r>
        <w:t xml:space="preserve"> </w:t>
      </w:r>
      <w:r>
        <w:t xml:space="preserve">and</w:t>
      </w:r>
      <w:r>
        <w:t xml:space="preserve"> </w:t>
      </w:r>
      <w:r>
        <w:rPr>
          <w:iCs/>
          <w:i/>
        </w:rPr>
        <w:t xml:space="preserve">IGF1R</w:t>
      </w:r>
      <w:r>
        <w:t xml:space="preserve"> </w:t>
      </w:r>
      <w:r>
        <w:t xml:space="preserve">transcript levels exceeded the control.</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FinnGen’s population controls mean this neither isolates TED susceptibility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The prior assumption was a different matter: under the most conservative prior,</w:t>
      </w:r>
      <w:r>
        <w:t xml:space="preserve"> </w:t>
      </w:r>
      <w:r>
        <w:rPr>
          <w:iCs/>
          <w:i/>
        </w:rPr>
        <w:t xml:space="preserve">TSHR</w:t>
      </w:r>
      <w:r>
        <w:t xml:space="preserve"> </w:t>
      </w:r>
      <w:r>
        <w:t xml:space="preserve">support in BBJ fell from 0.951 to 0.661, below the 0.80 threshold, while FinnGen remained above it at 0.875 (Figure 3B; Supplementary Data 3). Stability to the frequency substitution therefore does not imply stability to the prior.</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the precision of MR association detection, not the probability of passing the complete colocalization filter,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Failure to identify an additional candidate therefore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 The</w:t>
      </w:r>
      <w:r>
        <w:t xml:space="preserve"> </w:t>
      </w:r>
      <w:r>
        <w:rPr>
          <w:iCs/>
          <w:i/>
        </w:rPr>
        <w:t xml:space="preserve">TSHR</w:t>
      </w:r>
      <w:r>
        <w:t xml:space="preserve"> </w:t>
      </w:r>
      <w:r>
        <w:t xml:space="preserve">association ran in the protective direction — higher genetically proxied expression corresponded to lower odds of disease — consistently across all three datasets, with shared expression–disease signals in BBJ GD and FinnGen Graves ophthalmopathy under the primary prior; in UKB neither gene reached the shared-variant threshold. Because the FinnGen outcome compares Graves ophthalmopathy cases with population controls, that recovery shows the signal extends to a TED-enriched population but does not isolate susceptibility to eye disease among people who already have GD.</w:t>
      </w:r>
      <w:r>
        <w:t xml:space="preserve"> </w:t>
      </w:r>
      <w:r>
        <w:rPr>
          <w:iCs/>
          <w:i/>
        </w:rPr>
        <w:t xml:space="preserve">IGF1R</w:t>
      </w:r>
      <w:r>
        <w:t xml:space="preserve"> </w:t>
      </w:r>
      <w:r>
        <w:t xml:space="preserve">showed nominal associations in BBJ and UKB, but its shared-variant evidence was unresolved in every outcome. No additional candidate passed the combined BBJ and FinnGen criterion. The comparison is therefore informative about the pattern and strength of genetic evidence, rather than a ranking of expected drug efficacy.</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Two observations bear on how that gap might arise: the two receptors are physically scaffolded in experimental systems [5], and expression regulation is tissue-dependent [29]. A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our instrument rs179252 and rs179247 in European and East Asian reference samples (r² = 0.957 and 0.992, respectively; Supplementary Methods), which connects the instrument to a biologically relevant region: if the relevant allele increases thymic antigen expression, the protective association would be biologically coherent. That tissue-specific step remains untested here, since neither LD nor a blood eQTL demonstrates the same regulatory direction in thymus. At rs179252 itself the disease odds ratios were approximately 0.80, 0.77 and 0.78 across BBJ, UKB and FinnGen. The much larger MR estimates follow from the scale rather than from a larger effect: the variant shifts reconstructed expression by only about 0.11 SD, and dividing the per-allele effect by that shift expresses it per standard deviation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colocalization model as fitted. Their H3-dominant posteriors favour distinct variants under the single-causal-variant assumption;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Multi-signal colocalization was not performed, so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Detection is subject to the same distinction: the benchmarks quantify the design’s precision, so the absence of further qualifying candidates cannot separate no effect from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Agreement between two outcomes that both use population controls would not by itself resolve this, because each compares affected people with the general population rather than with GD patients who do not develop eye disease, and because a Graves ophthalmopathy case is by definition also a GD case. Larger molecular datasets from relevant cell types could test whether the blood-derived signals transfer to thymus or orbital tissue. The present orbital observations — four TED samples and one control — 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Without such a model, 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in particular remain unresolved.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in UKB hyperthyroidism neither gene reached the shared-variant threshold. The findings distinguish genetic susceptibility evidence from evidence of therapeutic efficacy: weaker and unresolved genetic support for</w:t>
      </w:r>
      <w:r>
        <w:t xml:space="preserve"> </w:t>
      </w:r>
      <w:r>
        <w:rPr>
          <w:iCs/>
          <w:i/>
        </w:rPr>
        <w:t xml:space="preserve">IGF1R</w:t>
      </w:r>
      <w:r>
        <w:t xml:space="preserve"> </w:t>
      </w:r>
      <w:r>
        <w:t xml:space="preserve">does not argue against its therapeutic relevance, and the BBJ</w:t>
      </w:r>
      <w:r>
        <w:t xml:space="preserve"> </w:t>
      </w:r>
      <w:r>
        <w:rPr>
          <w:iCs/>
          <w:i/>
        </w:rPr>
        <w:t xml:space="preserve">TSHR</w:t>
      </w:r>
      <w:r>
        <w:t xml:space="preserve"> </w:t>
      </w:r>
      <w:r>
        <w:t xml:space="preserve">result depends on the shared-association prior.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2026-09-16T04:08:26Z</dcterms:created>
  <dcterms:modified xsi:type="dcterms:W3CDTF">2026-09-16T04:08:26Z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