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Title"/>
        <w:widowControl/>
      </w:pPr>
      <w:r>
        <w:t xml:space="preserve">Supplementary material</w:t>
      </w:r>
    </w:p>
    <w:p>
      <w:pPr>
        <w:pStyle w:val="FirstParagraph"/>
        <w:widowControl/>
      </w:pPr>
      <w:r>
        <w:t xml:space="preserve">TSHR and IGF1R expression in Graves disease: Mendelian randomization and colocalization</w:t>
      </w:r>
    </w:p>
    <w:bookmarkStart w:id="25" w:name="supplementary-methods"/>
    <w:p>
      <w:pPr>
        <w:pStyle w:val="Heading2"/>
        <w:widowControl/>
      </w:pPr>
      <w:r>
        <w:t xml:space="preserve">Supplementary Methods</w:t>
      </w:r>
    </w:p>
    <w:bookmarkStart w:id="20" w:name="X2947e2f5023b9dadd6416f2f5c3511d783a5fe1"/>
    <w:p>
      <w:pPr>
        <w:pStyle w:val="Heading3"/>
        <w:widowControl/>
      </w:pPr>
      <w:r>
        <w:t xml:space="preserve">Expression instruments and allele alignment</w:t>
      </w:r>
    </w:p>
    <w:p>
      <w:pPr>
        <w:pStyle w:val="FirstParagraph"/>
        <w:widowControl/>
      </w:pPr>
      <w:r>
        <w:t xml:space="preserve">Cis-eQTL instruments met</w:t>
      </w:r>
      <w:r>
        <w:t xml:space="preserve"> </w:t>
      </w:r>
      <w:r>
        <w:rPr>
          <w:iCs/>
          <w:i/>
        </w:rPr>
        <w:t xml:space="preserve">P</w:t>
      </w:r>
      <w:r>
        <w:t xml:space="preserve"> </w:t>
      </w:r>
      <w:r>
        <w:t xml:space="preserve">&lt; 5×10⁻⁸ within ±1 Mb of the gene and were clumped at r² &lt; 0.001 within 10 Mb using 1000 Genomes Phase 3 Europeans (n = 503). Exposure SE = 1/√[2f(1−f)(N + Z²)] and β = Z × SE, where f is allele frequency and N is the variant-specific sample size [19]. TwoSampleMR harmonise_data (action = 2) aligned alleles and excluded palindromic variants with MAF &gt; 0.42; missing estimates were not imputed. BBJ/FinnGen retained their reported log-odds scales. UKB linear-model β and SE were divided by μ(1−μ), with μ = 3,731/484,598. Source GWAS covariate adjustments were retained; participant-level re-adjustment was unavailable.</w:t>
      </w:r>
    </w:p>
    <w:bookmarkEnd w:id="20"/>
    <w:bookmarkStart w:id="21" w:name="mr-sensitivity-and-regional-linkage"/>
    <w:p>
      <w:pPr>
        <w:pStyle w:val="Heading3"/>
        <w:widowControl/>
      </w:pPr>
      <w:r>
        <w:t xml:space="preserve">MR sensitivity and regional linkage</w:t>
      </w:r>
    </w:p>
    <w:p>
      <w:pPr>
        <w:pStyle w:val="FirstParagraph"/>
        <w:widowControl/>
      </w:pPr>
      <w:r>
        <w:t xml:space="preserve">Single instruments used the Wald ratio; multiple instruments used multiplicative random-effects IVW with under-dispersion correction. Weighted-median/mode estimates, the MR-Egger intercept and Cochran’s Q were assessed where estimable (Table S1; Supplementary Data 5) [21, 22]. Few instruments limit pleiotropy testing. Steiger directionality [23] and bidirectional MR were not performed. Post hoc leave-one-out analysis used the original reference-frequency harmonized sets, applying IVW when at least two SNPs remained and the Wald ratio for one. All 15 omissions (11 IGF1R, four CTLA4) and five comparators are in Figure S2 and Supplementary Data 6. TSHR in all outcomes and CTLA4 in BBJ had one original SNP and were ineligible. An independent base-R implementation reproduced all nine full-set estimates and verified the omissions. Two-sided normal tests and 95% CIs retained the primary SE conventions. These correlated checks are not independent replication. This analysis was not repeated under substituted eQTLGen frequencies.</w:t>
      </w:r>
    </w:p>
    <w:p>
      <w:pPr>
        <w:pStyle w:val="BodyText"/>
        <w:widowControl/>
      </w:pPr>
      <w:r>
        <w:t xml:space="preserve">TSHR clumping combined eQTL thresholds of 5×10⁻⁸/5×10⁻⁶, r² thresholds of 0.001/0.01/0.1 and European (n = 503)/East Asian (n = 504) panels. rs179252 remained an index variant in all 12 combinations. Primary settings selected one European and two East Asian instruments; relaxed settings selected up to 12. Post-review PLINK r² between rs179252 and rs179247 was 0.957116/0.991625 in Europeans/East Asians; for rs179252–rs12101255 it was 0.459227/0.855574. All three variants had complete genotypes. These reference-panel checks support instrument retention, not conditional association, a single-signal model or shared tissue-specific regulation.</w:t>
      </w:r>
    </w:p>
    <w:p>
      <w:pPr>
        <w:pStyle w:val="BodyText"/>
        <w:widowControl/>
      </w:pPr>
      <w:r>
        <w:t xml:space="preserve">At chromosome 16p11.2, rs4889606, rs34649473 and rs78924645 span approximately 143 kb (East Asian pairwise r² = 0.854, 0.761 and 0.863). GCTA-COJO selection at</w:t>
      </w:r>
      <w:r>
        <w:t xml:space="preserve"> </w:t>
      </w:r>
      <w:r>
        <w:rPr>
          <w:iCs/>
          <w:i/>
        </w:rPr>
        <w:t xml:space="preserve">P</w:t>
      </w:r>
      <w:r>
        <w:t xml:space="preserve"> </w:t>
      </w:r>
      <w:r>
        <w:t xml:space="preserve">&lt; 5×10⁻⁶ retained rs8050588 (</w:t>
      </w:r>
      <w:r>
        <w:rPr>
          <w:iCs/>
          <w:i/>
        </w:rPr>
        <w:t xml:space="preserve">P</w:t>
      </w:r>
      <w:r>
        <w:t xml:space="preserve"> </w:t>
      </w:r>
      <w:r>
        <w:t xml:space="preserve">= 1.15×10⁻⁸); conditioning gave</w:t>
      </w:r>
      <w:r>
        <w:t xml:space="preserve"> </w:t>
      </w:r>
      <w:r>
        <w:rPr>
          <w:iCs/>
          <w:i/>
        </w:rPr>
        <w:t xml:space="preserve">P</w:t>
      </w:r>
      <w:r>
        <w:t xml:space="preserve"> </w:t>
      </w:r>
      <w:r>
        <w:t xml:space="preserve">= 0.928, 0.839 and 0.806 for the three variants, respectively. This supports regional dependence without identifying a causal gene.</w:t>
      </w:r>
    </w:p>
    <w:bookmarkEnd w:id="21"/>
    <w:bookmarkStart w:id="22" w:name="colocalization-and-prior-assumptions"/>
    <w:p>
      <w:pPr>
        <w:pStyle w:val="Heading3"/>
        <w:widowControl/>
      </w:pPr>
      <w:r>
        <w:t xml:space="preserve">Colocalization and prior assumptions</w:t>
      </w:r>
    </w:p>
    <w:p>
      <w:pPr>
        <w:pStyle w:val="FirstParagraph"/>
        <w:widowControl/>
      </w:pPr>
      <w:r>
        <w:t xml:space="preserve">coloc.abf used all available gene-specific cis-eQTL statistics without significance filtering, matched to outcomes by rsID and allele pair; GRCh37 expression and GRCh38 outcome coordinates were not joined directly. Duplicate rsIDs and allele mismatches were excluded. Both datasets supplied β and variance: dataset 1 was the outcome, dataset 2 expression (sdY = 1). Outcome frequencies were not used in the Bayes factors. The top_snp field identifies the highest-probability variant conditional on H4, not necessarily the GWAS lead SNP. H0–H4 denote neither trait, outcome only, expression only, distinct variants and a shared variant. Priors were p1 = p2 = 10⁻⁴ and p12 = 10⁻⁵, with 5×10⁻⁶ and 10⁻⁶ sensitivity settings [24]. Figure 3B displays selected genes; Supplementary Data 3 preserves all nine genes × three outcomes × three priors. Low H4 does not establish absence of disease association. Multi-variant colocalization and formal colocalization power were not evaluated.</w:t>
      </w:r>
    </w:p>
    <w:bookmarkEnd w:id="22"/>
    <w:bookmarkStart w:id="23"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covers 26,609 participants, excluding Framingham. All 50,245 requested SNPs, including 6,135 instrument records, had valid frequencies and matching GRCh37 positions. Assessed-allele frequencies replaced reference frequencies in β/SE reconstruction while Z and N were fixed (maximum |ΔZ| = 5.54×10⁻¹³). Identical-variant comparisons preceded repeat action = 2 harmonization. Of 27 changed inclusion decisions, 24 involved palindromic frequencies and three restored missing reference frequencies. No retained outcome estimate changed direction. Estimable genes became 2,232/2,506/2,481 in BBJ/UKB/FinnGen; the discovery denominator remained 2,544 (Table S2; Supplementary Data 2). Across 81 colocalization settings, maximum |ΔH4| was 0.000245 for identical variants and 0.002142 when newly covered variants were included; none crossed 0.80. Primary MR was independently checked. Substitution reran Wald/IVW, colocalization and detection limits, but not all alternative MR estimators.</w:t>
      </w:r>
    </w:p>
    <w:p>
      <w:pPr>
        <w:pStyle w:val="BodyText"/>
        <w:widowControl/>
      </w:pPr>
      <w:r>
        <w:t xml:space="preserve">The approximate 80% minimum detectable absolute log-OR was (z₁₋α/₂ + z₀.₈₀) × SE, with α = 0.05/2,544 in BBJ and 0.05 in UKB/FinnGen; exponentiation gives the detectable OR. Percentages use each scenario’s estimable-gene denominator (Table S3; Supplementary Data 4). These describe MR association detection using observed SEs, not colocalization or combined-filter power. Gene-specific limits were 1.39 (TSHR) and 0.99 (IGF1R) in BBJ (α = 0.05/2,544), and 0.33/0.72 for IGF1R in UKB/FinnGen, respectively (α = 0.05). These benchmarks describe precision; comparing them with observed effects cannot distinguish an absent effect from limited power.</w:t>
      </w:r>
    </w:p>
    <w:bookmarkEnd w:id="23"/>
    <w:bookmarkStart w:id="24" w:name="descriptive-orbital-expression"/>
    <w:p>
      <w:pPr>
        <w:pStyle w:val="Heading3"/>
        <w:widowControl/>
      </w:pPr>
      <w:r>
        <w:t xml:space="preserve">Descriptive orbital expression</w:t>
      </w:r>
    </w:p>
    <w:p>
      <w:pPr>
        <w:pStyle w:val="FirstParagraph"/>
        <w:widowControl/>
      </w:pPr>
      <w:r>
        <w:t xml:space="preserve">Orbital RNA-seq included four TED patients and one control. Technical replicates were combined by biological sample. Figure S1 shows log2[(mean TED TPM + 0.01)/(control TPM + 0.01)]. One control cannot establish control-group biological variance; no differential-expression</w:t>
      </w:r>
      <w:r>
        <w:t xml:space="preserve"> </w:t>
      </w:r>
      <w:r>
        <w:rPr>
          <w:iCs/>
          <w:i/>
        </w:rPr>
        <w:t xml:space="preserve">P</w:t>
      </w:r>
      <w:r>
        <w:t xml:space="preserve"> </w:t>
      </w:r>
      <w:r>
        <w:t xml:space="preserve">value or confirmatory test is reported. This unreplicated descriptive dataset contributes no inferential evidence to the genetic comparison.</w:t>
      </w:r>
    </w:p>
    <w:p>
      <w:pPr>
        <w:sectPr>
          <w:footerReference w:type="default" r:id="rId11"/>
          <w:footerReference w:type="first" r:id="rId12"/>
          <w:footerReference w:type="even" r:id="rId13"/>
          <w:type w:val="nextPage"/>
          <w:pgSz w:w="11909" w:h="16834"/>
          <w:pgMar w:left="1368" w:right="1368" w:top="1152" w:bottom="1152" w:header="432" w:footer="432"/>
        </w:sectPr>
      </w:pPr>
    </w:p>
    <w:p>
      <w:pPr>
        <w:pStyle w:val="BodyText"/>
        <w:keepNext/>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p>
      <w:pPr>
        <w:pStyle w:val="BodyText"/>
        <w:keepNext/>
        <w:pageBreakBefore/>
        <w:widowControl/>
        <w:spacing w:line="264" w:lineRule="auto" w:after="140"/>
      </w:pPr>
      <w:r>
        <w:rPr>
          <w:bCs/>
          <w:b/>
          <w:sz w:val="20"/>
        </w:rPr>
        <w:t xml:space="preserve">Table S2.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4"/>
        <w:gridCol w:w="3319"/>
        <w:gridCol w:w="1544"/>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iCs/>
                <w:rFonts w:ascii="Times New Roman" w:hAnsi="Times New Roman"/>
                <w:b/>
                <w:i/>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iCs/>
                <w:rFonts w:ascii="Times New Roman" w:hAnsi="Times New Roman"/>
                <w:b/>
                <w:i/>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Cs/>
          <w:b/>
          <w:sz w:val="20"/>
        </w:rPr>
        <w:t xml:space="preserve">Table S3.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Cs/>
          <w:b/>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Cs/>
          <w:i/>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p>
      <w:pPr>
        <w:sectPr>
          <w:type w:val="nextPage"/>
          <w:pgSz w:w="16834" w:h="11909" w:orient="landscape"/>
          <w:pgMar w:left="1008" w:right="1008" w:top="936" w:bottom="936" w:header="432" w:footer="432"/>
        </w:sectPr>
      </w:pPr>
    </w:p>
    <w:p>
      <w:pPr>
        <w:pStyle w:val="BodyText"/>
        <w:keepNext/>
        <w:widowControl/>
        <w:spacing w:line="264" w:lineRule="auto" w:after="140"/>
      </w:pPr>
      <w:r>
        <w:rPr>
          <w:bCs/>
          <w:b/>
          <w:sz w:val="20"/>
        </w:rPr>
        <w:t xml:space="preserve">Figure S2. Post hoc leave-one-out sensitivity of the selected-gene MR estimates.</w:t>
      </w:r>
      <w:r>
        <w:rPr>
          <w:sz w:val="20"/>
        </w:rPr>
        <w:t xml:space="preserve"> </w:t>
      </w:r>
      <w:r>
        <w:rPr>
          <w:sz w:val="20"/>
        </w:rPr>
        <w:t xml:space="preserve">Open circles show the 15 SNP-exclusion estimates; filled diamonds show the five corresponding all-SNP estimates. The SNP named on each row was omitted. Horizontal lines represent 95% CIs, and the dashed line marks OR = 1 on a logarithmic axis. ORs, CIs and two-sided</w:t>
      </w:r>
      <w:r>
        <w:rPr>
          <w:sz w:val="20"/>
        </w:rPr>
        <w:t xml:space="preserve"> </w:t>
      </w:r>
      <w:r>
        <w:rPr>
          <w:iCs/>
          <w:i/>
          <w:sz w:val="20"/>
        </w:rPr>
        <w:t xml:space="preserve">P</w:t>
      </w:r>
      <w:r>
        <w:rPr>
          <w:sz w:val="20"/>
        </w:rPr>
        <w:t xml:space="preserve"> </w:t>
      </w:r>
      <w:r>
        <w:rPr>
          <w:sz w:val="20"/>
        </w:rPr>
        <w:t xml:space="preserve">values are displayed for every row; bold</w:t>
      </w:r>
      <w:r>
        <w:rPr>
          <w:sz w:val="20"/>
        </w:rPr>
        <w:t xml:space="preserve"> </w:t>
      </w:r>
      <w:r>
        <w:rPr>
          <w:iCs/>
          <w:i/>
          <w:sz w:val="20"/>
        </w:rPr>
        <w:t xml:space="preserve">P</w:t>
      </w:r>
      <w:r>
        <w:rPr>
          <w:sz w:val="20"/>
        </w:rPr>
        <w:t xml:space="preserve"> </w:t>
      </w:r>
      <w:r>
        <w:rPr>
          <w:sz w:val="20"/>
        </w:rPr>
        <w:t xml:space="preserve">values denote nominal</w:t>
      </w:r>
      <w:r>
        <w:rPr>
          <w:sz w:val="20"/>
        </w:rPr>
        <w:t xml:space="preserve"> </w:t>
      </w:r>
      <w:r>
        <w:rPr>
          <w:iCs/>
          <w:i/>
          <w:sz w:val="20"/>
        </w:rPr>
        <w:t xml:space="preserve">P</w:t>
      </w:r>
      <w:r>
        <w:rPr>
          <w:sz w:val="20"/>
        </w:rPr>
        <w:t xml:space="preserve"> </w:t>
      </w:r>
      <w:r>
        <w:rPr>
          <w:sz w:val="20"/>
        </w:rPr>
        <w:t xml:space="preserve">&lt; 0.05 for descriptive comparison. Original reference-frequency harmonized sets were used. If one SNP remained, its Wald ratio was calculated; otherwise IVW was used. TSHR in all outcomes and CTLA4 in BBJ are not plotted because a single original instrument precluded omission. These correlated post hoc analyses assess sensitivity to the included SNPs and do not constitute independent replication.</w:t>
      </w:r>
    </w:p>
    <w:p>
      <w:pPr>
        <w:spacing w:line="240" w:lineRule="auto"/>
        <w:jc w:val="center"/>
      </w:pPr>
      <w:r>
        <w:drawing>
          <wp:inline>
            <wp:extent cx="5715000" cy="6885542"/>
            <wp:docPr id="2" name="Picture 2"/>
            <wp:cNvGraphicFramePr>
              <a:graphicFrameLocks noChangeAspect="1"/>
            </wp:cNvGraphicFramePr>
            <a:graphic>
              <a:graphicData uri="http://schemas.openxmlformats.org/drawingml/2006/picture">
                <pic:pic>
                  <pic:nvPicPr>
                    <pic:cNvPr id="0" name="FigureS2.png"/>
                    <pic:cNvPicPr/>
                  </pic:nvPicPr>
                  <pic:blipFill>
                    <a:blip r:embed="rId10"/>
                    <a:stretch>
                      <a:fillRect/>
                    </a:stretch>
                  </pic:blipFill>
                  <pic:spPr>
                    <a:xfrm>
                      <a:off x="0" y="0"/>
                      <a:ext cx="5715000" cy="6885542"/>
                    </a:xfrm>
                    <a:prstGeom prst="rect"/>
                  </pic:spPr>
                </pic:pic>
              </a:graphicData>
            </a:graphic>
          </wp:inline>
        </w:drawing>
      </w:r>
    </w:p>
    <w:bookmarkEnd w:id="24"/>
    <w:bookmarkEnd w:id="25"/>
    <w:bookmarkEnd w:id="26"/>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2026-09-16T04:08:27Z</dcterms:created>
  <dcterms:modified xsi:type="dcterms:W3CDTF">2026-09-16T04:08:27Z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