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primary FinnGen GD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 With three or four</w:t>
      </w:r>
      <w:r>
        <w:rPr>
          <w:color w:val="000000"/>
        </w:rPr>
        <w:t xml:space="preserve"> </w:t>
      </w:r>
      <w:r>
        <w:rPr>
          <w:iCs/>
          <w:i/>
          <w:color w:val="000000"/>
        </w:rPr>
        <w:t xml:space="preserve">IGF1R</w:t>
      </w:r>
      <w:r>
        <w:rPr>
          <w:color w:val="000000"/>
        </w:rPr>
        <w:t xml:space="preserve"> </w:t>
      </w:r>
      <w:r>
        <w:rPr>
          <w:color w:val="000000"/>
        </w:rPr>
        <w:t xml:space="preserve">instruments, these estimators had little power.</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aligned to GRCh38 and quantified as TPM.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Readme and Column_dictionary sheets describe every sheet; reproduction validates implementation, not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2026-10-18T05:14:17Z</dcterms:created>
  <dcterms:modified xsi:type="dcterms:W3CDTF">2026-10-18T05:14:17Z</dcterms:modified>
  <cp:lastModifiedBy/>
  <dc:description/>
</cp:coreProperties>
</file>

<file path=docProps/custom.xml><?xml version="1.0" encoding="utf-8"?>
<Properties xmlns="http://schemas.openxmlformats.org/officeDocument/2006/custom-properties" xmlns:vt="http://schemas.openxmlformats.org/officeDocument/2006/docPropsVTypes"/>
</file>