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drug target that is not a susceptibility locus: druggable-gene-wide Mendelian randomization distinguishes TSHR anchoring from IGF1R effector biology in Graves disease and thyroid eye disease</w:t>
      </w:r>
    </w:p>
    <w:p>
      <w:pPr>
        <w:pStyle w:val="BodyText"/>
      </w:pPr>
      <w:r>
        <w:t xml:space="preserve">Short title: TSHR anchoring versus IGF1R effector biology in Graves disease and TED</w:t>
      </w:r>
    </w:p>
    <w:p>
      <w:pPr>
        <w:pStyle w:val="BodyText"/>
      </w:pPr>
      <w:r>
        <w:t xml:space="preserve">Jungyul Park¹ (first author); Min-Seon Kim² (co-author); Kyung-Hwa Shin³* (co-corresponding author); Suk-Woo Yang¹* (corresponding author)</w:t>
      </w:r>
    </w:p>
    <w:p>
      <w:pPr>
        <w:pStyle w:val="BodyText"/>
      </w:pPr>
      <w:r>
        <w:t xml:space="preserve">*Corresponding authors: Suk-Woo Yang; Kyung-Hwa Shin</w:t>
      </w:r>
    </w:p>
    <w:p>
      <w:pPr>
        <w:pStyle w:val="BodyText"/>
      </w:pPr>
      <w:r>
        <w:t xml:space="preserve">¹ Department of Ophthalmology, Seoul St. Mary’s Hospital, College of Medicine, The Catholic University of Korea, Seoul, Republic of Korea</w:t>
      </w:r>
      <w:r>
        <w:t xml:space="preserve"> </w:t>
      </w:r>
      <w:r>
        <w:t xml:space="preserve">² Department of Ophthalmology, College of Medicine, The Catholic University of Korea, Seoul, Republic of Korea</w:t>
      </w:r>
      <w:r>
        <w:t xml:space="preserve"> </w:t>
      </w:r>
      <w:r>
        <w:t xml:space="preserve">³ Department of Laboratory Medicine, Pusan National University Hospital, Busan, Republic of Korea</w:t>
      </w:r>
    </w:p>
    <w:p>
      <w:pPr>
        <w:pStyle w:val="BodyText"/>
      </w:pPr>
      <w:r>
        <w:rPr>
          <w:bCs/>
          <w:b/>
        </w:rPr>
        <w:t xml:space="preserve">ABSTRACT</w:t>
      </w:r>
    </w:p>
    <w:p>
      <w:pPr>
        <w:pStyle w:val="BodyText"/>
      </w:pPr>
      <w:r>
        <w:rPr>
          <w:bCs/>
          <w:b/>
        </w:rPr>
        <w:t xml:space="preserve">Background.</w:t>
      </w:r>
      <w:r>
        <w:t xml:space="preserve"> </w:t>
      </w:r>
      <w:r>
        <w:t xml:space="preserve">Teprotumumab targets IGF-1R in thyroid eye disease (TED), yet whether IGF1R is a genetically anchored susceptibility locus or a pharmacologic effector axis distinct from the autoantigen TSHR is unclear. We applied a druggable-gene-wide Mendelian randomization (MR) and colocalization framework to distinguish susceptibility anchors from effector axes in Graves disease (GD) and TED.</w:t>
      </w:r>
    </w:p>
    <w:p>
      <w:pPr>
        <w:pStyle w:val="BodyText"/>
      </w:pPr>
      <w:r>
        <w:rPr>
          <w:bCs/>
          <w:b/>
        </w:rPr>
        <w:t xml:space="preserve">Methods.</w:t>
      </w:r>
      <w:r>
        <w:t xml:space="preserve"> </w:t>
      </w:r>
      <w:r>
        <w:t xml:space="preserve">Blood cis-eQTL instruments (eQTLGen) were used for two-sample MR across 2,545 druggable genes against a prespecified outcome hierarchy: Biobank Japan Graves disease (discovery; 2,809 cases), UK Biobank hyperthyroidism (replication; 3,731), and FinnGen Graves ophthalmopathy (TED-specific sensitivity; 858). Bonferroni-significant hits underwent fine-mapping, Bayesian colocalization, and cross-outcome candidate filtering; TSHR, IGF1R, and CTLA4 were integrated with in-house orbital RNA-seq.</w:t>
      </w:r>
    </w:p>
    <w:p>
      <w:pPr>
        <w:pStyle w:val="BodyText"/>
      </w:pPr>
      <w:r>
        <w:rPr>
          <w:bCs/>
          <w:b/>
        </w:rPr>
        <w:t xml:space="preserve">Results.</w:t>
      </w:r>
      <w:r>
        <w:t xml:space="preserve"> </w:t>
      </w:r>
      <w:r>
        <w:t xml:space="preserve">Thirteen genes reached Bonferroni significance. TSHR showed protective MR effects directionally reproduced across all three outcomes, strong colocalization in the discovery and TED-specific signals (PP.H4 = 0.951 and 0.986; shared variant rs179252), and exploratory upregulation in TED orbital tissue (log2FC = +2.33, adjusted P = 0.032). IGF1R showed nominal risk-direction MR effects but no expression colocalization (PP.H2-dominant) and no significant tissue association. CTLA4 behaved as a positive-control autoimmune locus. No non-established candidate survived robust cross-outcome colocalization.</w:t>
      </w:r>
    </w:p>
    <w:p>
      <w:pPr>
        <w:pStyle w:val="BodyText"/>
      </w:pPr>
      <w:r>
        <w:rPr>
          <w:bCs/>
          <w:b/>
        </w:rPr>
        <w:t xml:space="preserve">Conclusions.</w:t>
      </w:r>
      <w:r>
        <w:t xml:space="preserve"> </w:t>
      </w:r>
      <w:r>
        <w:t xml:space="preserve">The framework supports TSHR as an expression-colocalized susceptibility anchor, whereas IGF1R shows nominal association without colocalization — a profile most consistent with pharmacologic effector biology rather than primary genetic susceptibility. Absence of colocalization does not argue against IGF-1R’s therapeutic relevance.</w:t>
      </w:r>
    </w:p>
    <w:p>
      <w:pPr>
        <w:pStyle w:val="BodyText"/>
      </w:pPr>
      <w:r>
        <w:rPr>
          <w:bCs/>
          <w:b/>
        </w:rPr>
        <w:t xml:space="preserve">Keywords.</w:t>
      </w:r>
      <w:r>
        <w:t xml:space="preserve"> </w:t>
      </w:r>
      <w:r>
        <w:t xml:space="preserve">Graves disease; Thyroid eye disease; TSHR; IGF1R; Mendelian randomization; Colocalization.</w:t>
      </w:r>
    </w:p>
    <w:p>
      <w:pPr>
        <w:pStyle w:val="BodyText"/>
      </w:pPr>
      <w:r>
        <w:rPr>
          <w:bCs/>
          <w:b/>
        </w:rPr>
        <w:t xml:space="preserve">국문 초록</w:t>
      </w:r>
    </w:p>
    <w:p>
      <w:pPr>
        <w:pStyle w:val="BodyText"/>
      </w:pPr>
      <w:r>
        <w:rPr>
          <w:bCs/>
          <w:b/>
        </w:rPr>
        <w:t xml:space="preserve">배경.</w:t>
      </w:r>
      <w:r>
        <w:t xml:space="preserve"> </w:t>
      </w:r>
      <w:r>
        <w:t xml:space="preserve">테프로투무맙은 갑상선눈병증(TED)에서 IGF-1R를 표적하지만, IGF1R이 유전적으로 고정된 감수성 유전자좌인지 자가항원 TSHR과 구별되는 약리학적 효과기 축인지는 불분명하다. 약물표적 유전체 전반의 멘델리안 무작위화(MR)와, GWAS 신호와 eQTL 신호가 동일한 인과변이에서 비롯되는지를 검정하는 colocalization(동일 좌위 신호 공유) 분석을 이용해 그레이브스병(GD)과 TED에서 감수성 앵커와 효과기 축을 구분하고자 하였다.</w:t>
      </w:r>
    </w:p>
    <w:p>
      <w:pPr>
        <w:pStyle w:val="BodyText"/>
      </w:pPr>
      <w:r>
        <w:rPr>
          <w:bCs/>
          <w:b/>
        </w:rPr>
        <w:t xml:space="preserve">방법.</w:t>
      </w:r>
      <w:r>
        <w:t xml:space="preserve"> </w:t>
      </w:r>
      <w:r>
        <w:t xml:space="preserve">eQTLGen 혈액 cis-eQTL을 도구변수로 2,545개 약물표적 유전자에 대해 two-sample MR을 수행하였다. 사전 지정한 결과변수 위계는 Biobank Japan 그레이브스병(발견, 2,809명), UK Biobank 갑상선기능항진증(복제, 3,731명), FinnGen 그레이브스안병증(TED 특이 민감도, 858명)이다. Bonferroni 유의 유전자에 대해 미세지도화(fine-mapping), 베이지안 colocalization, 교차결과 후보 필터링을 적용하고 TSHR·IGF1R·CTLA4를 자체 안와 RNA-seq과 통합하였다.</w:t>
      </w:r>
    </w:p>
    <w:p>
      <w:pPr>
        <w:pStyle w:val="BodyText"/>
      </w:pPr>
      <w:r>
        <w:rPr>
          <w:bCs/>
          <w:b/>
        </w:rPr>
        <w:t xml:space="preserve">결과.</w:t>
      </w:r>
      <w:r>
        <w:t xml:space="preserve"> </w:t>
      </w:r>
      <w:r>
        <w:t xml:space="preserve">13개 유전자가 Bonferroni 유의수준에 도달하였다. TSHR은 세 결과변수 전반에서 방향이 일관되게 재현된 보호효과, 발견 및 TED 특이 신호에서 강한 colocalization(PP.H4 = 0.951, 0.986; 공유변이 rs179252), TED 안와조직에서 탐색적 발현 증가(log2FC = +2.33, 보정 P = 0.032)를 보였다. IGF1R은 명목상 위험방향 MR 효과를 보였으나 발현 colocalization은 없었고(PP.H2 우세) 조직 연관성도 유의하지 않았다. CTLA4는 양성대조 자가면역 유전자좌로 작동하였다. 기존에 알려지지 않은 후보 중 견고한 교차결과 colocalization을 통과한 것은 없었다.</w:t>
      </w:r>
    </w:p>
    <w:p>
      <w:pPr>
        <w:pStyle w:val="BodyText"/>
      </w:pPr>
      <w:r>
        <w:rPr>
          <w:bCs/>
          <w:b/>
        </w:rPr>
        <w:t xml:space="preserve">결론.</w:t>
      </w:r>
      <w:r>
        <w:t xml:space="preserve"> </w:t>
      </w:r>
      <w:r>
        <w:t xml:space="preserve">본 분석틀은 TSHR을 발현 신호가 질병과 colocalization되는 감수성 앵커로, IGF1R은 colocalization이 없는 명목적 연관, 즉 일차적 유전 감수성보다 약리학적 효과기 생물학에 가장 부합하는 프로파일로 제시한다. colocalization의 부재가 IGF-1R의 치료적 의의를 반박하는 것은 아니다.</w:t>
      </w:r>
    </w:p>
    <w:p>
      <w:pPr>
        <w:pStyle w:val="BodyText"/>
      </w:pPr>
      <w:r>
        <w:rPr>
          <w:bCs/>
          <w:b/>
        </w:rPr>
        <w:t xml:space="preserve">핵심어.</w:t>
      </w:r>
      <w:r>
        <w:t xml:space="preserve"> </w:t>
      </w:r>
      <w:r>
        <w:t xml:space="preserve">그레이브스병; 갑상선눈병증; TSHR; IGF1R; 멘델리안 무작위화; Colocalization.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2026-06-02T10:11:45Z</dcterms:created>
  <dcterms:modified xsi:type="dcterms:W3CDTF">2026-06-02T10:11:45Z</dcterms:modified>
</cp:coreProperties>
</file>

<file path=docProps/custom.xml><?xml version="1.0" encoding="utf-8"?>
<Properties xmlns="http://schemas.openxmlformats.org/officeDocument/2006/custom-properties" xmlns:vt="http://schemas.openxmlformats.org/officeDocument/2006/docPropsVTypes"/>
</file>