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keepNext/>
        <w:pageBreakBefore w:val="0"/>
        <w:widowControl/>
        <w:spacing w:line="264" w:lineRule="auto" w:after="140"/>
      </w:pPr>
      <w:r>
        <w:rPr>
          <w:bCs/>
          <w:b/>
          <w:sz w:val="20"/>
        </w:rPr>
        <w:t xml:space="preserve">Table S1. Sensitivity tests for genes with multiple instruments</w:t>
      </w:r>
    </w:p>
    <w:tbl>
      <w:tblPr>
        <w:tblW w:type="dxa" w:w="14818"/>
        <w:jc w:val="center"/>
        <w:tblLayout w:type="fixed"/>
        <w:tblLook w:firstColumn="1" w:firstRow="1" w:lastColumn="0" w:lastRow="0" w:noHBand="0" w:noVBand="1" w:val="04A0"/>
      </w:tblPr>
      <w:tblGrid>
        <w:gridCol w:w="1347"/>
        <w:gridCol w:w="3873"/>
        <w:gridCol w:w="1515"/>
        <w:gridCol w:w="1431"/>
        <w:gridCol w:w="1431"/>
        <w:gridCol w:w="1431"/>
        <w:gridCol w:w="1936"/>
        <w:gridCol w:w="1852"/>
      </w:tblGrid>
      <w:tr>
        <w:trPr>
          <w:cantSplit/>
          <w:tblHeader/>
        </w:trPr>
        <w:tc>
          <w:tcPr>
            <w:tcW w:type="dxa" w:w="1347"/>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Gene</w:t>
            </w:r>
          </w:p>
        </w:tc>
        <w:tc>
          <w:tcPr>
            <w:tcW w:type="dxa" w:w="3873"/>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Outcome</w:t>
            </w:r>
          </w:p>
        </w:tc>
        <w:tc>
          <w:tcPr>
            <w:tcW w:type="dxa" w:w="151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Instruments</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Primary</w:t>
            </w:r>
            <w:r>
              <w:rPr>
                <w:rFonts w:ascii="Times New Roman" w:hAnsi="Times New Roman"/>
                <w:b/>
                <w:sz w:val="19"/>
              </w:rPr>
              <w:t xml:space="preserve"> </w:t>
            </w:r>
            <w:r>
              <w:rPr>
                <w:iCs/>
                <w:rFonts w:ascii="Times New Roman" w:hAnsi="Times New Roman"/>
                <w:b/>
                <w:i/>
                <w:sz w:val="19"/>
              </w:rPr>
              <w:t xml:space="preserve">P</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Median</w:t>
            </w:r>
            <w:r>
              <w:rPr>
                <w:rFonts w:ascii="Times New Roman" w:hAnsi="Times New Roman"/>
                <w:b/>
                <w:sz w:val="19"/>
              </w:rPr>
              <w:t xml:space="preserve"> </w:t>
            </w:r>
            <w:r>
              <w:rPr>
                <w:iCs/>
                <w:rFonts w:ascii="Times New Roman" w:hAnsi="Times New Roman"/>
                <w:b/>
                <w:i/>
                <w:sz w:val="19"/>
              </w:rPr>
              <w:t xml:space="preserve">P</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Mode</w:t>
            </w:r>
            <w:r>
              <w:rPr>
                <w:rFonts w:ascii="Times New Roman" w:hAnsi="Times New Roman"/>
                <w:b/>
                <w:sz w:val="19"/>
              </w:rPr>
              <w:t xml:space="preserve"> </w:t>
            </w:r>
            <w:r>
              <w:rPr>
                <w:iCs/>
                <w:rFonts w:ascii="Times New Roman" w:hAnsi="Times New Roman"/>
                <w:b/>
                <w:i/>
                <w:sz w:val="19"/>
              </w:rPr>
              <w:t xml:space="preserve">P</w:t>
            </w:r>
          </w:p>
        </w:tc>
        <w:tc>
          <w:tcPr>
            <w:tcW w:type="dxa" w:w="1936"/>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Egger intercept</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Heterogeneity</w:t>
            </w:r>
            <w:r>
              <w:rPr>
                <w:rFonts w:ascii="Times New Roman" w:hAnsi="Times New Roman"/>
                <w:b/>
                <w:sz w:val="19"/>
              </w:rPr>
              <w:t xml:space="preserve"> </w:t>
            </w:r>
            <w:r>
              <w:rPr>
                <w:iCs/>
                <w:rFonts w:ascii="Times New Roman" w:hAnsi="Times New Roman"/>
                <w:b/>
                <w:i/>
                <w:sz w:val="19"/>
              </w:rPr>
              <w:t xml:space="preserve">P</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0.0212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0.0288</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0.512</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0.663</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0.902</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0.0117</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0.00244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0.367</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0.562</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0.25</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3</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0.182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0.124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0.633</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0.433</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0.309</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CTLA4</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0.00131</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CTLA4</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0.0118</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0.0486</w:t>
            </w:r>
          </w:p>
        </w:tc>
      </w:tr>
    </w:tbl>
    <w:p>
      <w:pPr>
        <w:pStyle w:val="BodyText"/>
        <w:pageBreakBefore w:val="0"/>
        <w:widowControl/>
        <w:spacing w:line="264" w:lineRule="auto" w:after="140"/>
      </w:pPr>
      <w:r>
        <w:rPr>
          <w:sz w:val="20"/>
        </w:rPr>
        <w:t xml:space="preserve">Median and mode denote weighted-median and weighted-mode MR. The Egger intercept assesses directional pleiotropy; heterogeneity uses Cochran’s Q. NA means not estimable, not a negative test. TSHR and CTLA4 in BBJ each used one instrument and are omitted from this diagnostic table. IGF1R estimates agreed in direction across estimators, but significance differed. Few instruments limit all these sensitivity checks. These are the original reference-frequency diagnostics; frequency substitution repeated primary Wald/IVW only. Supplementary Data 5 supplies all estimator coefficients, standard errors, ORs and 95% CIs alongside their original</w:t>
      </w:r>
      <w:r>
        <w:rPr>
          <w:sz w:val="20"/>
        </w:rPr>
        <w:t xml:space="preserve"> </w:t>
      </w:r>
      <w:r>
        <w:rPr>
          <w:iCs/>
          <w:i/>
          <w:sz w:val="20"/>
        </w:rPr>
        <w:t xml:space="preserve">P</w:t>
      </w:r>
      <w:r>
        <w:rPr>
          <w:sz w:val="20"/>
        </w:rPr>
        <w:t xml:space="preserve"> </w:t>
      </w:r>
      <w:r>
        <w:rPr>
          <w:sz w:val="20"/>
        </w:rPr>
        <w:t xml:space="preserve">values. Its intervals use the same reference distribution as each test: normal for Wald/IVW/weighted median and Student t for MR-Egger (instruments − 2 degrees of freedom) and weighted mode (instruments − 1).</w:t>
      </w:r>
    </w:p>
    <w:sect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56" w:lineRule="auto" w:after="0"/>
    </w:pPr>
    <w:rPr>
      <w:rFonts w:ascii="Times New Roman" w:hAnsi="Times New Roman"/>
      <w:sz w:val="24"/>
    </w:rPr>
  </w:style>
  <w:style w:styleId="BodyText" w:type="paragraph">
    <w:name w:val="Body Text"/>
    <w:basedOn w:val="Normal"/>
    <w:link w:val="BodyTextChar"/>
    <w:pPr>
      <w:spacing w:after="0" w:before="180" w:line="456" w:lineRule="auto"/>
    </w:pPr>
    <w:qFormat/>
    <w:rPr>
      <w:rFonts w:ascii="Times New Roman" w:hAnsi="Times New Roman"/>
      <w:sz w:val="24"/>
    </w:rPr>
  </w:style>
  <w:style w:customStyle="1" w:styleId="FirstParagraph" w:type="paragraph">
    <w:name w:val="First Paragraph"/>
    <w:basedOn w:val="BodyText"/>
    <w:next w:val="BodyText"/>
    <w:qFormat/>
    <w:pPr>
      <w:spacing w:line="456" w:lineRule="auto" w:after="0"/>
    </w:pPr>
    <w:rPr>
      <w:rFonts w:ascii="Times New Roman" w:hAnsi="Times New Roman"/>
      <w:sz w:val="24"/>
    </w:rPr>
  </w:style>
  <w:style w:customStyle="1" w:styleId="Compact" w:type="paragraph">
    <w:name w:val="Compact"/>
    <w:basedOn w:val="BodyText"/>
    <w:qFormat/>
    <w:pPr>
      <w:spacing w:after="0" w:before="36" w:line="456"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56"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S1</dc:title>
  <dc:creator>Jungyul Park; Min-Seon Kim; Kyung-Hwa Shin; Suk-Woo Yang</dc:creator>
  <cp:keywords/>
  <dcterms:created xsi:type="dcterms:W3CDTF">2026-09-15T07:42:06Z</dcterms:created>
  <dcterms:modified xsi:type="dcterms:W3CDTF">2026-09-15T07:42:06Z</dcterms:modified>
  <dc:identifier>TableS1</dc:identifier>
  <cp:lastModifiedBy/>
</cp:coreProperties>
</file>

<file path=docProps/custom.xml><?xml version="1.0" encoding="utf-8"?>
<Properties xmlns="http://schemas.openxmlformats.org/officeDocument/2006/custom-properties" xmlns:vt="http://schemas.openxmlformats.org/officeDocument/2006/docPropsVTypes"/>
</file>