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TSHR vs IGF-1R in Graves Disease and TED</w:t>
      </w:r>
    </w:p>
    <w:bookmarkStart w:id="42" w:name="X8e4de8cb1853d52dd775242776ae16b70cd596c"/>
    <w:p>
      <w:pPr>
        <w:pStyle w:val="Heading1"/>
      </w:pPr>
      <w:r>
        <w:t xml:space="preserve">A drug target that is not a susceptibility locus: druggable-gene-wide Mendelian randomization distinguishes TSHR anchoring from IGF1R effector biology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integration framework to prioritize susceptibility and effector axes in Graves disease (GD) and TED.</w:t>
      </w:r>
    </w:p>
    <w:p>
      <w:pPr>
        <w:pStyle w:val="BodyText"/>
      </w:pPr>
      <w:r>
        <w:rPr>
          <w:bCs/>
          <w:b/>
        </w:rPr>
        <w:t xml:space="preserve">Methods:</w:t>
      </w:r>
      <w:r>
        <w:t xml:space="preserve"> </w:t>
      </w:r>
      <w:r>
        <w:t xml:space="preserve">Blood</w:t>
      </w:r>
      <w:r>
        <w:t xml:space="preserve"> </w:t>
      </w:r>
      <w:r>
        <w:rPr>
          <w:iCs/>
          <w:i/>
        </w:rPr>
        <w:t xml:space="preserve">cis</w:t>
      </w:r>
      <w:r>
        <w:t xml:space="preserve">-eQTL instruments from eQTLGen were used for two-sample MR across 2,545 MR-testable druggable genes. Outcome hierarchy comprised Biobank Japan Graves disease as primary discovery, UK Biobank hyperthyroidism as replication, and FinnGen R12 Graves ophthalmopathy (a TED phenotype) as the TED-specific sensitivity outcome.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further integrated with in-house orbital RNA-seq.</w:t>
      </w:r>
    </w:p>
    <w:p>
      <w:pPr>
        <w:pStyle w:val="BodyText"/>
      </w:pP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consistent protective MR effects across all three outcomes, strong colocalization with the discovery and TED-specific signals (PP.H4=0.951 and 0.986; shared variant rs179252), and exploratory upregulation in TED orbital tissue (log2FC=+2.33, adjusted P=0.032).</w:t>
      </w:r>
      <w:r>
        <w:t xml:space="preserve"> </w:t>
      </w:r>
      <w:r>
        <w:rPr>
          <w:iCs/>
          <w:i/>
        </w:rPr>
        <w:t xml:space="preserve">IGF1R</w:t>
      </w:r>
      <w:r>
        <w:t xml:space="preserve"> </w:t>
      </w:r>
      <w:r>
        <w:t xml:space="preserve">showed nominal risk-direction MR effects but lacked expression colocalization and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p>
    <w:p>
      <w:pPr>
        <w:pStyle w:val="BodyText"/>
      </w:pPr>
      <w:r>
        <w:rPr>
          <w:bCs/>
          <w:b/>
        </w:rPr>
        <w:t xml:space="preserve">Conclusion:</w:t>
      </w:r>
      <w:r>
        <w:t xml:space="preserve"> </w:t>
      </w:r>
      <w:r>
        <w:t xml:space="preserve">This framework supports</w:t>
      </w:r>
      <w:r>
        <w:t xml:space="preserve"> </w:t>
      </w:r>
      <w:r>
        <w:rPr>
          <w:iCs/>
          <w:i/>
        </w:rPr>
        <w:t xml:space="preserve">TSHR</w:t>
      </w:r>
      <w:r>
        <w:t xml:space="preserve">-anchored, expression-colocalized susceptibility, whereas</w:t>
      </w:r>
      <w:r>
        <w:t xml:space="preserve"> </w:t>
      </w:r>
      <w:r>
        <w:rPr>
          <w:iCs/>
          <w:i/>
        </w:rPr>
        <w:t xml:space="preserve">IGF1R</w:t>
      </w:r>
      <w:r>
        <w:t xml:space="preserve"> </w:t>
      </w:r>
      <w:r>
        <w:t xml:space="preserve">showed nominal genetic association without expression colocalization—a profile most consistent with pharmacologic effector biology rather than primary, expression-colocalized genetic susceptibility in GD/TED.</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prespecified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Three gaps are particularly relevant. First, candidate-focused analyses have tended to examine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systematic framework. Second, many analyses have relied on a single outcome, which can elevate locus-specific or linkage-driven signals that do not reproduce across related phenotypes; TED-specific outcomes have often been underpowered or treated only as secondary sensitivity datasets. Third, genetic association has seldom been integrated with colocalization, fine-mapping, and disease-relevant tissue expression evidence in a way that separates expression-colocalized susceptibility from non-colocalized effector biology. Addressing these gaps requires a framework that screens the druggable genome systematically, tests reproducibility across a hierarchy of GD/TED outcomes, and triangulates genetic signals against disease-relevant tissue.</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TED-specific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hierarchy of decreasing sample size but increasing TED specificity: Graves disease from Biobank Japan (BBJ; East Asian; 2,809 cases) as the primary discovery outcome, hyperthyroidism from UK Biobank (UKB; European; 3,731 cases) as cross-ancestry replication [13], and Graves ophthalmopathy from FinnGen R12 (European; 858 cases) as the TED-specific sensitivity outcome [14] (Table 1). Because TED-specific GWAS remain substantially smaller than GD GWAS, this design tested the signal first in a better-powered discovery set and then in a TED-specific outcome. An in-house orbital RNA-seq dataset (Korean; four TED, one control) provided exploratory tissue-level triangulation and was not used for instrument selection.</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TED-specific support were evaluated using direction-consistent nominal association (</w:t>
      </w:r>
      <w:r>
        <w:rPr>
          <w:iCs/>
          <w:i/>
        </w:rPr>
        <w:t xml:space="preserve">P</w:t>
      </w:r>
      <w:r>
        <w:t xml:space="preserve"> </w:t>
      </w:r>
      <w:r>
        <w:t xml:space="preserve">&lt; 0.05).</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Posterior probabilities distinguish association with the eQTL only (H1), the outcome only (H2), both traits with distinct causal variants (H3), and both traits with a shared causal variant (H4). Strong colocalization was defined as PP.H4 ≥ 0.80 and evaluated separately against the discovery and TED-specific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and gene-level differential expression was estimated with DESeq2 [24] with Benjamini–Hochberg correction computed across genes. This study reports only the three prespecified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for hypothesis-driven tissue triangulation (Figure 3C; Table 2); no genome-wide transcriptomic catalogue, differential-expression list, or pathway-enrichment result is presented here. The dataset was used solely for exploratory tissue-level support of the genetically prioritized backbone genes,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We applied a druggable-gene-wide MR, colocalization, and orbital tissue-integration framework to distinguish genetically anchored susceptibility from pharmacologic effector biology in GD and TED (</w:t>
      </w:r>
      <w:r>
        <w:rPr>
          <w:bCs/>
          <w:b/>
        </w:rPr>
        <w:t xml:space="preserve">Figure 1</w:t>
      </w:r>
      <w:r>
        <w:t xml:space="preserve">). The analysis followed a prespecified outcome hierarchy using Biobank Japan (BBJ) Graves disease as the primary discovery outcome, UK Biobank (UKB) hyperthyroidism as replication, and FinnGen R12 Graves ophthalmopathy (a TED phenotype) as the TED-specific sensitivity outcome, with data sources summarized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TED-specific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TED-specific outcome (PP.H4 = 0.019 for both), where the posterior favored an outcome-only association pattern rather than shared eQTL–GWAS architecture.</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TED-specific outcome.</w:t>
      </w:r>
    </w:p>
    <w:p>
      <w:pPr>
        <w:pStyle w:val="BodyText"/>
      </w:pPr>
      <w:r>
        <w:t xml:space="preserve">Overall, no non-known candidate showed strong colocalization in both BBJ Graves disease and the TED-specific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TED-specific outcome (β = −2.33,</w:t>
      </w:r>
      <w:r>
        <w:t xml:space="preserve"> </w:t>
      </w:r>
      <w:r>
        <w:rPr>
          <w:iCs/>
          <w:i/>
        </w:rPr>
        <w:t xml:space="preserve">P</w:t>
      </w:r>
      <w:r>
        <w:t xml:space="preserve"> </w:t>
      </w:r>
      <w:r>
        <w:t xml:space="preserve">= 2.8×10⁻⁷). The consistency of direction and approximate magnitude across discovery, replication, and TED-specific analysis argues against an outcome-specific artifact (Figure 3B).</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TED-specific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was significantly upregulated in TED orbital tissue relative to control tissue (log2 fold-change = +2.33, adjusted</w:t>
      </w:r>
      <w:r>
        <w:t xml:space="preserve"> </w:t>
      </w:r>
      <w:r>
        <w:rPr>
          <w:iCs/>
          <w:i/>
        </w:rPr>
        <w:t xml:space="preserve">P</w:t>
      </w:r>
      <w:r>
        <w:t xml:space="preserve"> </w:t>
      </w:r>
      <w:r>
        <w:t xml:space="preserve">= 0.032; Figure 3C), providing exploratory tissue-level support for the biological relevance of the prioritized locus. Together, these results position</w:t>
      </w:r>
      <w:r>
        <w:t xml:space="preserve"> </w:t>
      </w:r>
      <w:r>
        <w:rPr>
          <w:iCs/>
          <w:i/>
        </w:rPr>
        <w:t xml:space="preserve">TSHR</w:t>
      </w:r>
      <w:r>
        <w:t xml:space="preserve"> </w:t>
      </w:r>
      <w:r>
        <w:t xml:space="preserve">as an expression-colocalized upstream susceptibility anchor in GD/TED rather than merely a rediscovered Graves disease association.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TED-specific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outcome-only association pattern rather than a shared causal variant with expression in both the discovery and TED-specific outcomes (PP.H4 = 0.043 and 0.036; H2-dominant; Figure 3A),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&gt; 0.99;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TED-specific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TED-specific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Using a druggable-gene-wide Mendelian randomization, colocalization, fine-mapping, and orbital tissue framework, we set out to distinguish genetically anchored susceptibility from pharmacologic effector biology in Graves disease (GD) and thyroid eye disease (TED). The framework revealed two contrasting evidence profiles among genes central to GD/TED biology and current therapeutic interpretation.</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nominal positive-direction MR evidence but lacked expression colocalization and significant orbital tissue upregulation, consistent with a pharmacologic effector axis rather than a primary expression-colocalized susceptibility locus. Across 2,545 MR-testable druggable genes, no non-known candidate advanced as a robust novel target after cross-outcome colocalization, indicating that the principal contribution of this work is not target discovery per se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therefore, a genetic association alone would add little to the literature. The contribution of the present framework is not the rediscovery of</w:t>
      </w:r>
      <w:r>
        <w:t xml:space="preserve"> </w:t>
      </w:r>
      <w:r>
        <w:rPr>
          <w:iCs/>
          <w:i/>
        </w:rPr>
        <w:t xml:space="preserve">TSHR</w:t>
      </w:r>
      <w:r>
        <w:t xml:space="preserve">, but the resolution of this locus into a coherent expression-colocalized anchor. Across all three outcomes, the</w:t>
      </w:r>
      <w:r>
        <w:t xml:space="preserve"> </w:t>
      </w:r>
      <w:r>
        <w:rPr>
          <w:iCs/>
          <w:i/>
        </w:rPr>
        <w:t xml:space="preserve">cis</w:t>
      </w:r>
      <w:r>
        <w:t xml:space="preserve">-eQTL instrument produced consistent protective-direction estimates, arguing against an outcome-specific artifact. Colocalization placed this effect on a shared causal variant with disease association in both the discovery and TED-specific outcomes, with rs179252 prioritized as the common lead variant. Fine-mapping and ancestry-matched LD assessment further supported retention of rs179252 as a single-instrument locus-level anchor: secondary credible-set lead variants remained in substantial linkage disequilibrium and did not provide clearly independent additional instruments. Thus, the MR estimate reflects a well-defined locus-level signal rather than an artifact of unmodeled allelic heterogeneity or arbitrary instrument selection. The convergence of these genetic findings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 This distinction cautions against reading tissue differential expression as directionally equivalent to a germline MR effect, a conflation that can otherwise generate spurious paradoxes when genetic and tissue evidence are integrated.</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outcome-only association pattern rather than a shared causal variant—and</w:t>
      </w:r>
      <w:r>
        <w:t xml:space="preserve"> </w:t>
      </w:r>
      <w:r>
        <w:rPr>
          <w:iCs/>
          <w:i/>
        </w:rPr>
        <w:t xml:space="preserve">IGF1R</w:t>
      </w:r>
      <w:r>
        <w:t xml:space="preserve"> </w:t>
      </w:r>
      <w:r>
        <w:t xml:space="preserve">was not significantly differentially expressed in orbital tissue. This combination distinguishes</w:t>
      </w:r>
      <w:r>
        <w:t xml:space="preserve"> </w:t>
      </w:r>
      <w:r>
        <w:rPr>
          <w:iCs/>
          <w:i/>
        </w:rPr>
        <w:t xml:space="preserve">IGF1R</w:t>
      </w:r>
      <w:r>
        <w:t xml:space="preserve"> </w:t>
      </w:r>
      <w:r>
        <w:t xml:space="preserve">from an expression-colocalized germline susceptibility locus.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interpret</w:t>
      </w:r>
      <w:r>
        <w:t xml:space="preserve"> </w:t>
      </w:r>
      <w:r>
        <w:rPr>
          <w:iCs/>
          <w:i/>
        </w:rPr>
        <w:t xml:space="preserve">IGF1R</w:t>
      </w:r>
      <w:r>
        <w:t xml:space="preserve"> </w:t>
      </w:r>
      <w:r>
        <w:t xml:space="preserve">as a pharmacologic effector axis rather than a primary expression-colocalized susceptibility anchor. This interpretation is compatible with the clinical efficacy of teprotumumab [3], which targets IGF-1R signaling: an effective therapeutic target need not be a primary genetic determinant of disease, and a gene’s value as a drug target does not require that its germline expression regulation colocalize with disease risk.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 Framing</w:t>
      </w:r>
      <w:r>
        <w:t xml:space="preserve"> </w:t>
      </w:r>
      <w:r>
        <w:rPr>
          <w:iCs/>
          <w:i/>
        </w:rPr>
        <w:t xml:space="preserve">IGF1R</w:t>
      </w:r>
      <w:r>
        <w:t xml:space="preserve"> </w:t>
      </w:r>
      <w:r>
        <w:t xml:space="preserve">as an effector rather than an anchor reconciles its therapeutic relevance with the comparatively weak germline expression-colocalization evidence observed in this study.</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Genetic prioritization identifies where inherited liability is concentrated, whereas pharmacologic intervention may act at downstream or parallel effector pathways. This complementarity is consistent with the observation that human genetic support for a target increases the likelihood of success in drug development, even though not every effective therapeutic target is a primary genetic susceptibility locus [27]. Our findings therefore support</w:t>
      </w:r>
      <w:r>
        <w:t xml:space="preserve"> </w:t>
      </w:r>
      <w:r>
        <w:rPr>
          <w:iCs/>
          <w:i/>
        </w:rPr>
        <w:t xml:space="preserve">TSHR</w:t>
      </w:r>
      <w:r>
        <w:t xml:space="preserve"> </w:t>
      </w:r>
      <w:r>
        <w:t xml:space="preserve">as an upstream susceptibility anchor and</w:t>
      </w:r>
      <w:r>
        <w:t xml:space="preserve"> </w:t>
      </w:r>
      <w:r>
        <w:rPr>
          <w:iCs/>
          <w:i/>
        </w:rPr>
        <w:t xml:space="preserve">IGF1R</w:t>
      </w:r>
      <w:r>
        <w:t xml:space="preserve"> </w:t>
      </w:r>
      <w:r>
        <w:t xml:space="preserve">as an effector axis, but they do not test whether targeting an upstream anchor would offer clinical advantages over established effector-directed therapy—a question outside the scope of the present genetic prioritization study.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TED-specific outcome, while the chromosome 16p11.2 candidates showed only weak or ambiguous colocalization within a narrow linkage-disequilibrium window. Had we relied on discovery significance alone, any of these signals could have been overinterpreted as a putative druggable target.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First, the outcome hierarchy was prespecified across BBJ Graves disease (discovery), UKB hyperthyroidism (replication), and FinnGen Graves ophthalmopathy (TED-specific sensitivity), so interpretation rested on cross-outcome consistency rather than any single dataset. Second, prioritization required both direction-consistent cross-outcome association and Bayesian colocalization [8] before a non-known signal was advanced as robust. Third, the positive-control locus</w:t>
      </w:r>
      <w:r>
        <w:t xml:space="preserve"> </w:t>
      </w:r>
      <w:r>
        <w:rPr>
          <w:iCs/>
          <w:i/>
        </w:rPr>
        <w:t xml:space="preserve">CTLA4</w:t>
      </w:r>
      <w:r>
        <w:t xml:space="preserve"> </w:t>
      </w:r>
      <w:r>
        <w:t xml:space="preserve">[25] was recovered as a strong direction-consistent signal, indicating that the screen was sensitive to known autoimmune biology. Finally, the</w:t>
      </w:r>
      <w:r>
        <w:t xml:space="preserve"> </w:t>
      </w:r>
      <w:r>
        <w:rPr>
          <w:iCs/>
          <w:i/>
        </w:rPr>
        <w:t xml:space="preserve">TSHR</w:t>
      </w:r>
      <w:r>
        <w:t xml:space="preserve"> </w:t>
      </w:r>
      <w:r>
        <w:t xml:space="preserve">instrument was examined by fine-mapping rather than accepted at face value, supporting its interpretation as a locus-level anchor rather than an artifact of allelic heterogeneity. Together, these features reduce the likelihood that the central susceptibility–effector distinction is driven by single-outcome artifacts or linkage-driven signals.</w:t>
      </w:r>
    </w:p>
    <w:p>
      <w:pPr>
        <w:pStyle w:val="BodyText"/>
      </w:pPr>
      <w:r>
        <w:t xml:space="preserve">This study has several limitations. First, the genetic instruments were derived from blood</w:t>
      </w:r>
      <w:r>
        <w:t xml:space="preserve"> </w:t>
      </w:r>
      <w:r>
        <w:rPr>
          <w:iCs/>
          <w:i/>
        </w:rPr>
        <w:t xml:space="preserve">cis</w:t>
      </w:r>
      <w:r>
        <w:t xml:space="preserve">-eQTLs [12], which may not capture tissue-specific regulation in the orbit or thyroid; a blood-based exposure captures blood</w:t>
      </w:r>
      <w:r>
        <w:t xml:space="preserve"> </w:t>
      </w:r>
      <w:r>
        <w:rPr>
          <w:iCs/>
          <w:i/>
        </w:rPr>
        <w:t xml:space="preserve">cis</w:t>
      </w:r>
      <w:r>
        <w:t xml:space="preserve">-regulatory variation rather than local expression in disease-relevant orbital or thyroid tissue, and genetic regulatory effects can differ substantially across tissues [26]. Second, the eQTL data were predominantly European, whereas the primary discovery outcome was East Asian [13]. Although this design provides a form of cross-ancestry assessment when effects are concordant, allele-frequency and linkage-disequilibrium differences across ancestries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while fine-mapping [22] supported this as a locus-level anchor rather than an artifact, single-instrument analyses preclude formal pleiotropy diagnostics such as the MR-Egger intercept. Fifth, the TED-specific outcome was smaller than the discovery outcome, limiting power for TED-specific colocalization; outcome-dependent patterns, including the mixed</w:t>
      </w:r>
      <w:r>
        <w:t xml:space="preserve"> </w:t>
      </w:r>
      <w:r>
        <w:rPr>
          <w:iCs/>
          <w:i/>
        </w:rPr>
        <w:t xml:space="preserve">CTLA4</w:t>
      </w:r>
      <w:r>
        <w:t xml:space="preserve"> </w:t>
      </w:r>
      <w:r>
        <w:t xml:space="preserve">colocalization result, may also reflect ancestry, phenotype, and locus complexity. Finally, the orbital tissue analysis was exploratory, based on a small in-house cohort, and was not externally replicated.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a druggable-gene-wide Mendelian randomization, colocalization, and orbital tissue framework,</w:t>
      </w:r>
      <w:r>
        <w:t xml:space="preserve"> </w:t>
      </w:r>
      <w:r>
        <w:rPr>
          <w:iCs/>
          <w:i/>
        </w:rPr>
        <w:t xml:space="preserve">TSHR</w:t>
      </w:r>
      <w:r>
        <w:t xml:space="preserve"> </w:t>
      </w:r>
      <w:r>
        <w:t xml:space="preserve">emerged as an expression-colocalized susceptibility anchor for GD and TED, supported primarily by consistent cross-outcome genetic effects and shared-variant colocalization at rs179252, with exploratory in-house orbital tissue findings providing supportive but non-confirmatory tissue-level context. In contrast,</w:t>
      </w:r>
      <w:r>
        <w:t xml:space="preserve"> </w:t>
      </w:r>
      <w:r>
        <w:rPr>
          <w:iCs/>
          <w:i/>
        </w:rPr>
        <w:t xml:space="preserve">IGF1R</w:t>
      </w:r>
      <w:r>
        <w:t xml:space="preserve"> </w:t>
      </w:r>
      <w:r>
        <w:t xml:space="preserve">showed nominal positive-direction genetic evidence without expression colocalization or significant orbital tissue association. No non-known druggable gene advanced as a robust novel target after cross-outcome colocalization. These findings position</w:t>
      </w:r>
      <w:r>
        <w:t xml:space="preserve"> </w:t>
      </w:r>
      <w:r>
        <w:rPr>
          <w:iCs/>
          <w:i/>
        </w:rPr>
        <w:t xml:space="preserve">TSHR</w:t>
      </w:r>
      <w:r>
        <w:t xml:space="preserve"> </w:t>
      </w:r>
      <w:r>
        <w:t xml:space="preserve">as a genetically anchored susceptibility locus and support an interpretation of</w:t>
      </w:r>
      <w:r>
        <w:t xml:space="preserve"> </w:t>
      </w:r>
      <w:r>
        <w:rPr>
          <w:iCs/>
          <w:i/>
        </w:rPr>
        <w:t xml:space="preserve">IGF1R</w:t>
      </w:r>
      <w:r>
        <w:t xml:space="preserve"> </w:t>
      </w:r>
      <w:r>
        <w:t xml:space="preserve">as a pharmacologic effector axis rather than a primary expression-colocalized susceptibility locus.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design and analytical workflow.</w:t>
      </w:r>
      <w:r>
        <w:t xml:space="preserve"> </w:t>
      </w:r>
      <w:r>
        <w:t xml:space="preserve">Schematic overview of the druggable-gene-wide framework. Data sources (top): eQTLGen blood</w:t>
      </w:r>
      <w:r>
        <w:t xml:space="preserve"> </w:t>
      </w:r>
      <w:r>
        <w:rPr>
          <w:iCs/>
          <w:i/>
        </w:rPr>
        <w:t xml:space="preserve">cis</w:t>
      </w:r>
      <w:r>
        <w:t xml:space="preserve">-eQTL instruments and three GD/TED outcome GWAS arranged by a prespecified hierarchy—Biobank Japan Graves disease (primary discovery), UK Biobank hyperthyroidism (cross-ancestry replication), and FinnGen R12 Graves ophthalmopathy (TED-specific sensitivity)—together with an in-house orbital RNA-seq dataset used only for exploratory tissue support. Analysis (middle): druggable-gene-wide</w:t>
      </w:r>
      <w:r>
        <w:t xml:space="preserve"> </w:t>
      </w:r>
      <w:r>
        <w:rPr>
          <w:iCs/>
          <w:i/>
        </w:rPr>
        <w:t xml:space="preserve">cis</w:t>
      </w:r>
      <w:r>
        <w:t xml:space="preserve">-eQTL Mendelian randomization across 2,545 MR-testable genes yielded 13 Bonferroni-significant discovery hits, followed by cross-outcome direction-consistency and Bayesian colocalization filtering. Integration (bottom): after candidate colocalization filtering no robust novel target was advanced;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are interpreted as an expression-colocalized susceptibility anchor, a pharmacologic effector axis, and a positive-control autoimmune locus, respectively.</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a prespecified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(GWAS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(outcome association without a shared eQTL signal);</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a consistent nominal risk-direction effect.</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 Only</w:t>
      </w:r>
      <w:r>
        <w:t xml:space="preserve"> </w:t>
      </w:r>
      <w:r>
        <w:rPr>
          <w:iCs/>
          <w:i/>
        </w:rPr>
        <w:t xml:space="preserve">TSHR</w:t>
      </w:r>
      <w:r>
        <w:t xml:space="preserve"> </w:t>
      </w:r>
      <w:r>
        <w:t xml:space="preserve">reaches tissue-level significance (log2FC = +2.33, adjusted</w:t>
      </w:r>
      <w:r>
        <w:t xml:space="preserve"> </w:t>
      </w:r>
      <w:r>
        <w:rPr>
          <w:iCs/>
          <w:i/>
        </w:rPr>
        <w:t xml:space="preserve">P</w:t>
      </w:r>
      <w:r>
        <w:t xml:space="preserve"> </w:t>
      </w:r>
      <w:r>
        <w:t xml:space="preserve">= 0.032);</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TED-specific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TED-specific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(&gt;0.99,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(outcome association without a shared eQTL signal).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TED-specific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TED-specific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TED-specific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TED-specific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outcome-only pattern (high PP.H2) in the TED-specific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(TSHR all outcomes; CTLA4 in BBJ) are supported by colocalization and fine-mapping rather than instrument-based pleiotropy diagnostics.</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w:t>
            </w:r>
          </w:p>
        </w:tc>
        <w:tc>
          <w:tcPr/>
          <w:p>
            <w:pPr>
              <w:pStyle w:val="Compact"/>
              <w:jc w:val="left"/>
            </w:pPr>
            <w:r>
              <w:t xml:space="preserve">Results; Table S4</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 S6</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(cross-ancestry, single-IV, blood eQTL, n = 1 control)</w:t>
            </w:r>
          </w:p>
        </w:tc>
        <w:tc>
          <w:tcPr/>
          <w:p>
            <w:pPr>
              <w:pStyle w:val="Compact"/>
              <w:jc w:val="left"/>
            </w:pPr>
            <w:r>
              <w:t xml:space="preserve">Discussion</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(outcome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TED-specific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2026-06-09T23:58:55Z</dcterms:created>
  <dcterms:modified xsi:type="dcterms:W3CDTF">2026-06-09T23:58:55Z</dcterms:modified>
</cp:coreProperties>
</file>

<file path=docProps/custom.xml><?xml version="1.0" encoding="utf-8"?>
<Properties xmlns="http://schemas.openxmlformats.org/officeDocument/2006/custom-properties" xmlns:vt="http://schemas.openxmlformats.org/officeDocument/2006/docPropsVTypes"/>
</file>