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1.09×10⁻¹⁴) and FinnGen GD (</w:t>
      </w:r>
      <w:r>
        <w:rPr>
          <w:iCs/>
          <w:i/>
          <w:color w:val="000000"/>
        </w:rPr>
        <w:t xml:space="preserve">P</w:t>
      </w:r>
      <w:r>
        <w:rPr>
          <w:color w:val="000000"/>
        </w:rPr>
        <w:t xml:space="preserve"> </w:t>
      </w:r>
      <w:r>
        <w:rPr>
          <w:color w:val="000000"/>
        </w:rPr>
        <w:t xml:space="preserve">= 3.19×10⁻³²), in the same direction in all five datasets. Colocalization supported a shared causal variant in Biobank Japan and both ophthalmopathy endpoints (in Biobank Japan and the strict endpoint only under the primary prior)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2026-10-14T15:53:47Z</dcterms:created>
  <dcterms:modified xsi:type="dcterms:W3CDTF">2026-10-14T15:53:47Z</dcterms:modified>
  <cp:lastModifiedBy/>
  <dc:description/>
</cp:coreProperties>
</file>

<file path=docProps/custom.xml><?xml version="1.0" encoding="utf-8"?>
<Properties xmlns="http://schemas.openxmlformats.org/officeDocument/2006/custom-properties" xmlns:vt="http://schemas.openxmlformats.org/officeDocument/2006/docPropsVTypes"/>
</file>