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1.09×10⁻¹⁴) and FinnGen (OR 0.08, 95% CI 0.05–0.12;</w:t>
      </w:r>
      <w:r>
        <w:rPr>
          <w:color w:val="000000"/>
        </w:rPr>
        <w:t xml:space="preserve"> </w:t>
      </w:r>
      <w:r>
        <w:rPr>
          <w:iCs/>
          <w:i/>
          <w:color w:val="000000"/>
        </w:rPr>
        <w:t xml:space="preserve">P</w:t>
      </w:r>
      <w:r>
        <w:rPr>
          <w:color w:val="000000"/>
        </w:rPr>
        <w:t xml:space="preserve"> </w:t>
      </w:r>
      <w:r>
        <w:rPr>
          <w:color w:val="000000"/>
        </w:rPr>
        <w:t xml:space="preserve">= 3.19×10⁻³²),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5×10⁻⁸)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(1.965×10⁻⁵),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10⁻⁴ and p12 = 10⁻⁵, and repeated analyses at p12 = 5×10⁻⁶ and 10⁻⁶ [24].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5×10⁻⁸,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All planned combinations are reported in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patients with inactive TED and one control provided descriptive context only (Supplementary Methods).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2,544 instrumented genes, 2,234 were estimable in BBJ, 2,505 in UKB and 2,480 in each FinnGen endpoint. Unavailable estimates were not counted as negative findings. Thirteen genes met the BBJ discovery threshold (Figure 1):</w:t>
      </w:r>
      <w:r>
        <w:rPr>
          <w:color w:val="000000"/>
        </w:rPr>
        <w:t xml:space="preserve"> </w:t>
      </w:r>
      <w:r>
        <w:rPr>
          <w:iCs/>
          <w:i/>
          <w:color w:val="000000"/>
        </w:rPr>
        <w:t xml:space="preserve">HLA-A</w:t>
      </w:r>
      <w:r>
        <w:rPr>
          <w:color w:val="000000"/>
        </w:rPr>
        <w:t xml:space="preserve">,</w:t>
      </w:r>
      <w:r>
        <w:rPr>
          <w:color w:val="000000"/>
        </w:rPr>
        <w:t xml:space="preserve"> </w:t>
      </w:r>
      <w:r>
        <w:rPr>
          <w:iCs/>
          <w:i/>
          <w:color w:val="000000"/>
        </w:rPr>
        <w:t xml:space="preserve">HLA-DQA2</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HSD3B7</w:t>
      </w:r>
      <w:r>
        <w:rPr>
          <w:color w:val="000000"/>
        </w:rPr>
        <w:t xml:space="preserve">,</w:t>
      </w:r>
      <w:r>
        <w:rPr>
          <w:color w:val="000000"/>
        </w:rPr>
        <w:t xml:space="preserve"> </w:t>
      </w:r>
      <w:r>
        <w:rPr>
          <w:iCs/>
          <w:i/>
          <w:color w:val="000000"/>
        </w:rPr>
        <w:t xml:space="preserve">TUBB</w:t>
      </w:r>
      <w:r>
        <w:rPr>
          <w:color w:val="000000"/>
        </w:rPr>
        <w:t xml:space="preserve">,</w:t>
      </w:r>
      <w:r>
        <w:rPr>
          <w:color w:val="000000"/>
        </w:rPr>
        <w:t xml:space="preserve"> </w:t>
      </w:r>
      <w:r>
        <w:rPr>
          <w:iCs/>
          <w:i/>
          <w:color w:val="000000"/>
        </w:rPr>
        <w:t xml:space="preserve">VKORC1</w:t>
      </w:r>
      <w:r>
        <w:rPr>
          <w:color w:val="000000"/>
        </w:rPr>
        <w:t xml:space="preserve">,</w:t>
      </w:r>
      <w:r>
        <w:rPr>
          <w:color w:val="000000"/>
        </w:rPr>
        <w:t xml:space="preserve"> </w:t>
      </w:r>
      <w:r>
        <w:rPr>
          <w:iCs/>
          <w:i/>
          <w:color w:val="000000"/>
        </w:rPr>
        <w:t xml:space="preserve">TNFSF14</w:t>
      </w:r>
      <w:r>
        <w:rPr>
          <w:color w:val="000000"/>
        </w:rPr>
        <w:t xml:space="preserve">,</w:t>
      </w:r>
      <w:r>
        <w:rPr>
          <w:color w:val="000000"/>
        </w:rPr>
        <w:t xml:space="preserve"> </w:t>
      </w:r>
      <w:r>
        <w:rPr>
          <w:iCs/>
          <w:i/>
          <w:color w:val="000000"/>
        </w:rPr>
        <w:t xml:space="preserve">PRSS36</w:t>
      </w:r>
      <w:r>
        <w:rPr>
          <w:color w:val="000000"/>
        </w:rPr>
        <w:t xml:space="preserve">,</w:t>
      </w:r>
      <w:r>
        <w:rPr>
          <w:color w:val="000000"/>
        </w:rPr>
        <w:t xml:space="preserve"> </w:t>
      </w:r>
      <w:r>
        <w:rPr>
          <w:iCs/>
          <w:i/>
          <w:color w:val="000000"/>
        </w:rPr>
        <w:t xml:space="preserve">MAPKAPK5</w:t>
      </w:r>
      <w:r>
        <w:rPr>
          <w:color w:val="000000"/>
        </w:rPr>
        <w:t xml:space="preserve">,</w:t>
      </w:r>
      <w:r>
        <w:rPr>
          <w:color w:val="000000"/>
        </w:rPr>
        <w:t xml:space="preserve"> </w:t>
      </w:r>
      <w:r>
        <w:rPr>
          <w:iCs/>
          <w:i/>
          <w:color w:val="000000"/>
        </w:rPr>
        <w:t xml:space="preserve">PSMB8</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BBJ GD (OR 0.12, 95% CI 0.07–0.21;</w:t>
      </w:r>
      <w:r>
        <w:rPr>
          <w:color w:val="000000"/>
        </w:rPr>
        <w:t xml:space="preserve"> </w:t>
      </w:r>
      <w:r>
        <w:rPr>
          <w:iCs/>
          <w:i/>
          <w:color w:val="000000"/>
        </w:rPr>
        <w:t xml:space="preserve">P</w:t>
      </w:r>
      <w:r>
        <w:rPr>
          <w:color w:val="000000"/>
        </w:rPr>
        <w:t xml:space="preserve"> </w:t>
      </w:r>
      <w:r>
        <w:rPr>
          <w:color w:val="000000"/>
        </w:rPr>
        <w:t xml:space="preserve">= 1.09×10⁻¹⁴) and FinnGen GD (OR 0.08, 95% CI 0.05–0.12;</w:t>
      </w:r>
      <w:r>
        <w:rPr>
          <w:color w:val="000000"/>
        </w:rPr>
        <w:t xml:space="preserve"> </w:t>
      </w:r>
      <w:r>
        <w:rPr>
          <w:iCs/>
          <w:i/>
          <w:color w:val="000000"/>
        </w:rPr>
        <w:t xml:space="preserve">P</w:t>
      </w:r>
      <w:r>
        <w:rPr>
          <w:color w:val="000000"/>
        </w:rPr>
        <w:t xml:space="preserve"> </w:t>
      </w:r>
      <w:r>
        <w:rPr>
          <w:color w:val="000000"/>
        </w:rPr>
        <w:t xml:space="preserve">= 3.19×10⁻³²). The same direction was observed for UKB hyperthyroidism (OR 0.09, 95% CI 0.06–0.14;</w:t>
      </w:r>
      <w:r>
        <w:rPr>
          <w:color w:val="000000"/>
        </w:rPr>
        <w:t xml:space="preserve"> </w:t>
      </w:r>
      <w:r>
        <w:rPr>
          <w:iCs/>
          <w:i/>
          <w:color w:val="000000"/>
        </w:rPr>
        <w:t xml:space="preserve">P</w:t>
      </w:r>
      <w:r>
        <w:rPr>
          <w:color w:val="000000"/>
        </w:rPr>
        <w:t xml:space="preserve"> </w:t>
      </w:r>
      <w:r>
        <w:rPr>
          <w:color w:val="000000"/>
        </w:rPr>
        <w:t xml:space="preserve">= 8.77×10⁻²⁸), FinnGen ophthalmopathy (OR 0.10, 95% CI 0.04–0.24;</w:t>
      </w:r>
      <w:r>
        <w:rPr>
          <w:color w:val="000000"/>
        </w:rPr>
        <w:t xml:space="preserve"> </w:t>
      </w:r>
      <w:r>
        <w:rPr>
          <w:iCs/>
          <w:i/>
          <w:color w:val="000000"/>
        </w:rPr>
        <w:t xml:space="preserve">P</w:t>
      </w:r>
      <w:r>
        <w:rPr>
          <w:color w:val="000000"/>
        </w:rPr>
        <w:t xml:space="preserve"> </w:t>
      </w:r>
      <w:r>
        <w:rPr>
          <w:color w:val="000000"/>
        </w:rPr>
        <w:t xml:space="preserve">= 2.82×10⁻⁷) and strict ophthalmopathy (OR 0.15, 95% CI 0.06–0.39;</w:t>
      </w:r>
      <w:r>
        <w:rPr>
          <w:color w:val="000000"/>
        </w:rPr>
        <w:t xml:space="preserve"> </w:t>
      </w:r>
      <w:r>
        <w:rPr>
          <w:iCs/>
          <w:i/>
          <w:color w:val="000000"/>
        </w:rPr>
        <w:t xml:space="preserve">P</w:t>
      </w:r>
      <w:r>
        <w:rPr>
          <w:color w:val="000000"/>
        </w:rPr>
        <w:t xml:space="preserve"> </w:t>
      </w:r>
      <w:r>
        <w:rPr>
          <w:color w:val="000000"/>
        </w:rPr>
        <w:t xml:space="preserve">= 9.02×10⁻⁵). All five estimates used rs179252 as the single instrument (Table 2; Figure 2). The strict ophthalmopathy association reached</w:t>
      </w:r>
      <w:r>
        <w:rPr>
          <w:color w:val="000000"/>
        </w:rPr>
        <w:t xml:space="preserve"> </w:t>
      </w:r>
      <w:r>
        <w:rPr>
          <w:iCs/>
          <w:i/>
          <w:color w:val="000000"/>
        </w:rPr>
        <w:t xml:space="preserve">P</w:t>
      </w:r>
      <w:r>
        <w:rPr>
          <w:color w:val="000000"/>
        </w:rPr>
        <w:t xml:space="preserve"> </w:t>
      </w:r>
      <w:r>
        <w:rPr>
          <w:color w:val="000000"/>
        </w:rPr>
        <w:t xml:space="preserve">&lt; 0.05 but not the full-screen threshold of 1.965×10⁻⁵.</w:t>
      </w:r>
    </w:p>
    <w:p>
      <w:pPr>
        <w:pStyle w:val="BodyText"/>
      </w:pPr>
      <w:r>
        <w:rPr>
          <w:color w:val="000000"/>
        </w:rPr>
        <w:t xml:space="preserve">The expression-increasing rs179252-G allele was associated with lower odds in all five disease datasets and was positively correlated with rs179247-G in European (r = 0.978; r² = 0.957; n = 503) and East Asian (r = 0.996; r² = 0.992; n = 504) reference samples. The latter allele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original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but no association met the full-screen threshold.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reached nominal significance, meaning uncorrected</w:t>
      </w:r>
      <w:r>
        <w:rPr>
          <w:color w:val="000000"/>
        </w:rPr>
        <w:t xml:space="preserve"> </w:t>
      </w:r>
      <w:r>
        <w:rPr>
          <w:iCs/>
          <w:i/>
          <w:color w:val="000000"/>
        </w:rPr>
        <w:t xml:space="preserve">P</w:t>
      </w:r>
      <w:r>
        <w:rPr>
          <w:color w:val="000000"/>
        </w:rPr>
        <w:t xml:space="preserve"> </w:t>
      </w:r>
      <w:r>
        <w:rPr>
          <w:color w:val="000000"/>
        </w:rPr>
        <w:t xml:space="preserve">&lt; 0.05. The FinnGen estimates did not: GD OR 1.07 (95% CI 0.86–1.33;</w:t>
      </w:r>
      <w:r>
        <w:rPr>
          <w:color w:val="000000"/>
        </w:rPr>
        <w:t xml:space="preserve"> </w:t>
      </w:r>
      <w:r>
        <w:rPr>
          <w:iCs/>
          <w:i/>
          <w:color w:val="000000"/>
        </w:rPr>
        <w:t xml:space="preserve">P</w:t>
      </w:r>
      <w:r>
        <w:rPr>
          <w:color w:val="000000"/>
        </w:rPr>
        <w:t xml:space="preserve"> </w:t>
      </w:r>
      <w:r>
        <w:rPr>
          <w:color w:val="000000"/>
        </w:rPr>
        <w:t xml:space="preserve">= 0.539), ophthalmopathy OR 1.41 (95% CI 0.85–2.33;</w:t>
      </w:r>
      <w:r>
        <w:rPr>
          <w:color w:val="000000"/>
        </w:rPr>
        <w:t xml:space="preserve"> </w:t>
      </w:r>
      <w:r>
        <w:rPr>
          <w:iCs/>
          <w:i/>
          <w:color w:val="000000"/>
        </w:rPr>
        <w:t xml:space="preserve">P</w:t>
      </w:r>
      <w:r>
        <w:rPr>
          <w:color w:val="000000"/>
        </w:rPr>
        <w:t xml:space="preserve"> </w:t>
      </w:r>
      <w:r>
        <w:rPr>
          <w:color w:val="000000"/>
        </w:rPr>
        <w:t xml:space="preserve">= 0.182) and strict ophthalmopathy OR 1.52 (95% CI 0.92–2.49;</w:t>
      </w:r>
      <w:r>
        <w:rPr>
          <w:color w:val="000000"/>
        </w:rPr>
        <w:t xml:space="preserve"> </w:t>
      </w:r>
      <w:r>
        <w:rPr>
          <w:iCs/>
          <w:i/>
          <w:color w:val="000000"/>
        </w:rPr>
        <w:t xml:space="preserve">P</w:t>
      </w:r>
      <w:r>
        <w:rPr>
          <w:color w:val="000000"/>
        </w:rPr>
        <w:t xml:space="preserve"> </w:t>
      </w:r>
      <w:r>
        <w:rPr>
          <w:color w:val="000000"/>
        </w:rPr>
        <w:t xml:space="preserve">= 0.0996). The FinnGen GD estimate was the most precise and lay close to the null. Weighted-median estimates resembled the IVW results in BBJ (OR 1.56;</w:t>
      </w:r>
      <w:r>
        <w:rPr>
          <w:color w:val="000000"/>
        </w:rPr>
        <w:t xml:space="preserve"> </w:t>
      </w:r>
      <w:r>
        <w:rPr>
          <w:iCs/>
          <w:i/>
          <w:color w:val="000000"/>
        </w:rPr>
        <w:t xml:space="preserve">P</w:t>
      </w:r>
      <w:r>
        <w:rPr>
          <w:color w:val="000000"/>
        </w:rPr>
        <w:t xml:space="preserve"> </w:t>
      </w:r>
      <w:r>
        <w:rPr>
          <w:color w:val="000000"/>
        </w:rPr>
        <w:t xml:space="preserve">= 0.0288) and UKB (OR 1.42;</w:t>
      </w:r>
      <w:r>
        <w:rPr>
          <w:color w:val="000000"/>
        </w:rPr>
        <w:t xml:space="preserve"> </w:t>
      </w:r>
      <w:r>
        <w:rPr>
          <w:iCs/>
          <w:i/>
          <w:color w:val="000000"/>
        </w:rPr>
        <w:t xml:space="preserve">P</w:t>
      </w:r>
      <w:r>
        <w:rPr>
          <w:color w:val="000000"/>
        </w:rPr>
        <w:t xml:space="preserve"> </w:t>
      </w:r>
      <w:r>
        <w:rPr>
          <w:color w:val="000000"/>
        </w:rPr>
        <w:t xml:space="preserve">= 0.00244), whereas MR-Egger and weighted-mode estimates were imprecise (</w:t>
      </w:r>
      <w:r>
        <w:rPr>
          <w:iCs/>
          <w:i/>
          <w:color w:val="000000"/>
        </w:rPr>
        <w:t xml:space="preserve">P</w:t>
      </w:r>
      <w:r>
        <w:rPr>
          <w:color w:val="000000"/>
        </w:rPr>
        <w:t xml:space="preserve"> </w:t>
      </w:r>
      <w:r>
        <w:rPr>
          <w:color w:val="000000"/>
        </w:rPr>
        <w:t xml:space="preserve">≥ 0.32), and MR-Egger intercepts were non-significant (</w:t>
      </w:r>
      <w:r>
        <w:rPr>
          <w:iCs/>
          <w:i/>
          <w:color w:val="000000"/>
        </w:rPr>
        <w:t xml:space="preserve">P</w:t>
      </w:r>
      <w:r>
        <w:rPr>
          <w:color w:val="000000"/>
        </w:rPr>
        <w:t xml:space="preserve"> </w:t>
      </w:r>
      <w:r>
        <w:rPr>
          <w:color w:val="000000"/>
        </w:rPr>
        <w:t xml:space="preserve">= 0.66, 0.56 and 0.43 in BBJ, UKB and FinnGen ophthalmopathy), although these tests have little power with three or four instruments. These findings show directional consistency without statistically convincing confirmation in FinnGen. They do not establish absence of an association.</w:t>
      </w:r>
    </w:p>
    <w:bookmarkEnd w:id="29"/>
    <w:bookmarkStart w:id="30" w:name="comparison-with-other-associated-genes"/>
    <w:p>
      <w:pPr>
        <w:pStyle w:val="Heading3"/>
      </w:pPr>
      <w:r>
        <w:rPr>
          <w:color w:val="000000"/>
        </w:rPr>
        <w:t xml:space="preserve">Comparison with other associated genes</w:t>
      </w:r>
    </w:p>
    <w:p>
      <w:pPr>
        <w:pStyle w:val="FirstParagraph"/>
      </w:pPr>
      <w:r>
        <w:rPr>
          <w:color w:val="000000"/>
        </w:rPr>
        <w:t xml:space="preserve">Four genes passed the full-screen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 In FinnGen GD,</w:t>
      </w:r>
      <w:r>
        <w:rPr>
          <w:color w:val="000000"/>
        </w:rPr>
        <w:t xml:space="preserve"> </w:t>
      </w:r>
      <w:r>
        <w:rPr>
          <w:iCs/>
          <w:i/>
          <w:color w:val="000000"/>
        </w:rPr>
        <w:t xml:space="preserve">CTLA4</w:t>
      </w:r>
      <w:r>
        <w:rPr>
          <w:color w:val="000000"/>
        </w:rPr>
        <w:t xml:space="preserve"> </w:t>
      </w:r>
      <w:r>
        <w:rPr>
          <w:color w:val="000000"/>
        </w:rPr>
        <w:t xml:space="preserve">was associated with lower odds (OR 0.17, 95% CI 0.08–0.36;</w:t>
      </w:r>
      <w:r>
        <w:rPr>
          <w:color w:val="000000"/>
        </w:rPr>
        <w:t xml:space="preserve"> </w:t>
      </w:r>
      <w:r>
        <w:rPr>
          <w:iCs/>
          <w:i/>
          <w:color w:val="000000"/>
        </w:rPr>
        <w:t xml:space="preserve">P</w:t>
      </w:r>
      <w:r>
        <w:rPr>
          <w:color w:val="000000"/>
        </w:rPr>
        <w:t xml:space="preserve"> </w:t>
      </w:r>
      <w:r>
        <w:rPr>
          <w:color w:val="000000"/>
        </w:rPr>
        <w:t xml:space="preserve">= 2.15×10⁻⁶), whereas</w:t>
      </w:r>
      <w:r>
        <w:rPr>
          <w:color w:val="000000"/>
        </w:rPr>
        <w:t xml:space="preserve"> </w:t>
      </w:r>
      <w:r>
        <w:rPr>
          <w:iCs/>
          <w:i/>
          <w:color w:val="000000"/>
        </w:rPr>
        <w:t xml:space="preserve">HLA-DQA2</w:t>
      </w:r>
      <w:r>
        <w:rPr>
          <w:color w:val="000000"/>
        </w:rPr>
        <w:t xml:space="preserve"> </w:t>
      </w:r>
      <w:r>
        <w:rPr>
          <w:color w:val="000000"/>
        </w:rPr>
        <w:t xml:space="preserve">(OR 1.90, 95% CI 1.64–2.20;</w:t>
      </w:r>
      <w:r>
        <w:rPr>
          <w:color w:val="000000"/>
        </w:rPr>
        <w:t xml:space="preserve"> </w:t>
      </w:r>
      <w:r>
        <w:rPr>
          <w:iCs/>
          <w:i/>
          <w:color w:val="000000"/>
        </w:rPr>
        <w:t xml:space="preserve">P</w:t>
      </w:r>
      <w:r>
        <w:rPr>
          <w:color w:val="000000"/>
        </w:rPr>
        <w:t xml:space="preserve"> </w:t>
      </w:r>
      <w:r>
        <w:rPr>
          <w:color w:val="000000"/>
        </w:rPr>
        <w:t xml:space="preserve">= 1.41×10⁻¹⁷) and</w:t>
      </w:r>
      <w:r>
        <w:rPr>
          <w:color w:val="000000"/>
        </w:rPr>
        <w:t xml:space="preserve"> </w:t>
      </w:r>
      <w:r>
        <w:rPr>
          <w:iCs/>
          <w:i/>
          <w:color w:val="000000"/>
        </w:rPr>
        <w:t xml:space="preserve">TUBB</w:t>
      </w:r>
      <w:r>
        <w:rPr>
          <w:color w:val="000000"/>
        </w:rPr>
        <w:t xml:space="preserve"> </w:t>
      </w:r>
      <w:r>
        <w:rPr>
          <w:color w:val="000000"/>
        </w:rPr>
        <w:t xml:space="preserve">(OR 3.28, 95% CI 2.09–5.17;</w:t>
      </w:r>
      <w:r>
        <w:rPr>
          <w:color w:val="000000"/>
        </w:rPr>
        <w:t xml:space="preserve"> </w:t>
      </w:r>
      <w:r>
        <w:rPr>
          <w:iCs/>
          <w:i/>
          <w:color w:val="000000"/>
        </w:rPr>
        <w:t xml:space="preserve">P</w:t>
      </w:r>
      <w:r>
        <w:rPr>
          <w:color w:val="000000"/>
        </w:rPr>
        <w:t xml:space="preserve"> </w:t>
      </w:r>
      <w:r>
        <w:rPr>
          <w:color w:val="000000"/>
        </w:rPr>
        <w:t xml:space="preserve">= 2.68×10⁻⁷) were associated with higher odds.</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lie in the major histocompatibility complex (MHC) region.</w:t>
      </w:r>
      <w:r>
        <w:rPr>
          <w:color w:val="000000"/>
        </w:rPr>
        <w:t xml:space="preserve"> </w:t>
      </w:r>
      <w:r>
        <w:rPr>
          <w:iCs/>
          <w:i/>
          <w:color w:val="000000"/>
        </w:rPr>
        <w:t xml:space="preserve">CTLA4</w:t>
      </w:r>
      <w:r>
        <w:rPr>
          <w:color w:val="000000"/>
        </w:rPr>
        <w:t xml:space="preserve">, an established autoimmune locus [26], 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across all five datasets.</w:t>
      </w:r>
      <w:r>
        <w:rPr>
          <w:color w:val="000000"/>
        </w:rPr>
        <w:t xml:space="preserve"> </w:t>
      </w:r>
      <w:r>
        <w:rPr>
          <w:iCs/>
          <w:i/>
          <w:color w:val="000000"/>
        </w:rPr>
        <w:t xml:space="preserve">HLA-DQA2</w:t>
      </w:r>
      <w:r>
        <w:rPr>
          <w:color w:val="000000"/>
        </w:rPr>
        <w:t xml:space="preserve"> </w:t>
      </w:r>
      <w:r>
        <w:rPr>
          <w:color w:val="000000"/>
        </w:rPr>
        <w:t xml:space="preserve">also showed higher-odds associations in both ophthalmopathy endpoints, but the UKB estimate was non-significant and in the opposite direction.</w:t>
      </w:r>
    </w:p>
    <w:p>
      <w:pPr>
        <w:pStyle w:val="BodyText"/>
      </w:pPr>
      <w:r>
        <w:rPr>
          <w:color w:val="000000"/>
        </w:rPr>
        <w:t xml:space="preserve">Using the focused FinnGen GD threshold of</w:t>
      </w:r>
      <w:r>
        <w:rPr>
          <w:color w:val="000000"/>
        </w:rPr>
        <w:t xml:space="preserve"> </w:t>
      </w:r>
      <w:r>
        <w:rPr>
          <w:iCs/>
          <w:i/>
          <w:color w:val="000000"/>
        </w:rPr>
        <w:t xml:space="preserve">P</w:t>
      </w:r>
      <w:r>
        <w:rPr>
          <w:color w:val="000000"/>
        </w:rPr>
        <w:t xml:space="preserve"> </w:t>
      </w:r>
      <w:r>
        <w:rPr>
          <w:color w:val="000000"/>
        </w:rPr>
        <w:t xml:space="preserve">&lt; 0.05/13, seven of the 13 BBJ discoveries had direction-consistent associations. The three additional genes were</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4.97×10⁻⁵),</w:t>
      </w:r>
      <w:r>
        <w:rPr>
          <w:color w:val="000000"/>
        </w:rPr>
        <w:t xml:space="preserve"> </w:t>
      </w:r>
      <w:r>
        <w:rPr>
          <w:iCs/>
          <w:i/>
          <w:color w:val="000000"/>
        </w:rPr>
        <w:t xml:space="preserve">TNFSF14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0.00361) and</w:t>
      </w:r>
      <w:r>
        <w:rPr>
          <w:color w:val="000000"/>
        </w:rPr>
        <w:t xml:space="preserve"> </w:t>
      </w:r>
      <w:r>
        <w:rPr>
          <w:iCs/>
          <w:i/>
          <w:color w:val="000000"/>
        </w:rPr>
        <w:t xml:space="preserve">IFNGR1</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0.00330).</w:t>
      </w:r>
      <w:r>
        <w:rPr>
          <w:color w:val="000000"/>
        </w:rPr>
        <w:t xml:space="preserve"> </w:t>
      </w:r>
      <w:r>
        <w:rPr>
          <w:iCs/>
          <w:i/>
          <w:color w:val="000000"/>
        </w:rPr>
        <w:t xml:space="preserve">VKORC1</w:t>
      </w:r>
      <w:r>
        <w:rPr>
          <w:color w:val="000000"/>
        </w:rPr>
        <w:t xml:space="preserve"> </w:t>
      </w:r>
      <w:r>
        <w:rPr>
          <w:color w:val="000000"/>
        </w:rPr>
        <w:t xml:space="preserve">was not estimable in FinnGen GD; the denominator remained 13. Although</w:t>
      </w:r>
      <w:r>
        <w:rPr>
          <w:color w:val="000000"/>
        </w:rPr>
        <w:t xml:space="preserve"> </w:t>
      </w:r>
      <w:r>
        <w:rPr>
          <w:iCs/>
          <w:i/>
          <w:color w:val="000000"/>
        </w:rPr>
        <w:t xml:space="preserve">HLA-A</w:t>
      </w:r>
      <w:r>
        <w:rPr>
          <w:color w:val="000000"/>
        </w:rPr>
        <w:t xml:space="preserve"> </w:t>
      </w:r>
      <w:r>
        <w:rPr>
          <w:color w:val="000000"/>
        </w:rPr>
        <w:t xml:space="preserve">had the smallest BBJ</w:t>
      </w:r>
      <w:r>
        <w:rPr>
          <w:color w:val="000000"/>
        </w:rPr>
        <w:t xml:space="preserve"> </w:t>
      </w:r>
      <w:r>
        <w:rPr>
          <w:iCs/>
          <w:i/>
          <w:color w:val="000000"/>
        </w:rPr>
        <w:t xml:space="preserve">P</w:t>
      </w:r>
      <w:r>
        <w:rPr>
          <w:color w:val="000000"/>
        </w:rPr>
        <w:t xml:space="preserve"> </w:t>
      </w:r>
      <w:r>
        <w:rPr>
          <w:color w:val="000000"/>
        </w:rPr>
        <w:t xml:space="preserve">value (2.60×10⁻²³), its FinnGen GD association was non-significant (</w:t>
      </w:r>
      <w:r>
        <w:rPr>
          <w:iCs/>
          <w:i/>
          <w:color w:val="000000"/>
        </w:rPr>
        <w:t xml:space="preserve">P</w:t>
      </w:r>
      <w:r>
        <w:rPr>
          <w:color w:val="000000"/>
        </w:rPr>
        <w:t xml:space="preserve"> </w:t>
      </w:r>
      <w:r>
        <w:rPr>
          <w:color w:val="000000"/>
        </w:rPr>
        <w:t xml:space="preserve">= 0.648). Thus, discovery significance alone did not determine consistency across datasets.</w:t>
      </w:r>
    </w:p>
    <w:p>
      <w:pPr>
        <w:pStyle w:val="BodyText"/>
      </w:pPr>
      <w:r>
        <w:rPr>
          <w:color w:val="000000"/>
        </w:rPr>
        <w:t xml:space="preserve">The full FinnGen GD screen identified 13 significant genes, nine outside the BBJ discovery set:</w:t>
      </w:r>
      <w:r>
        <w:rPr>
          <w:color w:val="000000"/>
        </w:rPr>
        <w:t xml:space="preserv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IGLV2-18</w:t>
      </w:r>
      <w:r>
        <w:rPr>
          <w:color w:val="000000"/>
        </w:rPr>
        <w:t xml:space="preserve">,</w:t>
      </w:r>
      <w:r>
        <w:rPr>
          <w:color w:val="000000"/>
        </w:rPr>
        <w:t xml:space="preserve"> </w:t>
      </w:r>
      <w:r>
        <w:rPr>
          <w:iCs/>
          <w:i/>
          <w:color w:val="000000"/>
        </w:rPr>
        <w:t xml:space="preserve">IGLV3-12</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t>
      </w:r>
      <w:r>
        <w:rPr>
          <w:color w:val="000000"/>
        </w:rPr>
        <w:t xml:space="preserve">(Table S1). Several shared the same instrument:</w:t>
      </w:r>
      <w:r>
        <w:rPr>
          <w:color w:val="000000"/>
        </w:rPr>
        <w:t xml:space="preserve"> </w:t>
      </w:r>
      <w:r>
        <w:rPr>
          <w:iCs/>
          <w:i/>
          <w:color w:val="000000"/>
        </w:rPr>
        <w:t xml:space="preserve">APOM</w:t>
      </w:r>
      <w:r>
        <w:rPr>
          <w:color w:val="000000"/>
        </w:rPr>
        <w:t xml:space="preserve"> </w:t>
      </w:r>
      <w:r>
        <w:rPr>
          <w:color w:val="000000"/>
        </w:rPr>
        <w:t xml:space="preserve">and</w:t>
      </w:r>
      <w:r>
        <w:rPr>
          <w:color w:val="000000"/>
        </w:rPr>
        <w:t xml:space="preserve"> </w:t>
      </w:r>
      <w:r>
        <w:rPr>
          <w:iCs/>
          <w:i/>
          <w:color w:val="000000"/>
        </w:rPr>
        <w:t xml:space="preserve">NEU1</w:t>
      </w:r>
      <w:r>
        <w:rPr>
          <w:color w:val="000000"/>
        </w:rPr>
        <w:t xml:space="preserve"> </w:t>
      </w:r>
      <w:r>
        <w:rPr>
          <w:color w:val="000000"/>
        </w:rPr>
        <w:t xml:space="preserve">used rs3101018, and</w:t>
      </w:r>
      <w:r>
        <w:rPr>
          <w:color w:val="000000"/>
        </w:rPr>
        <w:t xml:space="preserve"> </w:t>
      </w:r>
      <w:r>
        <w:rPr>
          <w:iCs/>
          <w:i/>
          <w:color w:val="000000"/>
        </w:rPr>
        <w:t xml:space="preserve">IGLV2-18</w:t>
      </w:r>
      <w:r>
        <w:rPr>
          <w:color w:val="000000"/>
        </w:rPr>
        <w:t xml:space="preserve"> </w:t>
      </w:r>
      <w:r>
        <w:rPr>
          <w:color w:val="000000"/>
        </w:rPr>
        <w:t xml:space="preserve">and</w:t>
      </w:r>
      <w:r>
        <w:rPr>
          <w:color w:val="000000"/>
        </w:rPr>
        <w:t xml:space="preserve"> </w:t>
      </w:r>
      <w:r>
        <w:rPr>
          <w:iCs/>
          <w:i/>
          <w:color w:val="000000"/>
        </w:rPr>
        <w:t xml:space="preserve">IGLV3-12</w:t>
      </w:r>
      <w:r>
        <w:rPr>
          <w:color w:val="000000"/>
        </w:rPr>
        <w:t xml:space="preserve"> </w:t>
      </w:r>
      <w:r>
        <w:rPr>
          <w:color w:val="000000"/>
        </w:rPr>
        <w:t xml:space="preserve">used rs5759410. These pairs therefore do not represent independent genetic findings. Seven of the nine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were instrumented within the extended MHC region on chromosome 6. Five MHC-region genes among the BBJ discoveries were also retained in follow-up; membership of this region was not an exclusion criterion.</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The two-instrument</w:t>
      </w:r>
      <w:r>
        <w:rPr>
          <w:color w:val="000000"/>
        </w:rPr>
        <w:t xml:space="preserve"> </w:t>
      </w:r>
      <w:r>
        <w:rPr>
          <w:iCs/>
          <w:i/>
          <w:color w:val="000000"/>
        </w:rPr>
        <w:t xml:space="preserve">CTLA4</w:t>
      </w:r>
      <w:r>
        <w:rPr>
          <w:color w:val="000000"/>
        </w:rPr>
        <w:t xml:space="preserve"> </w:t>
      </w:r>
      <w:r>
        <w:rPr>
          <w:color w:val="000000"/>
        </w:rPr>
        <w:t xml:space="preserve">estimates were largely supported by rs13030124. Omitting it from FinnGen GD left an imprecise estimate (</w:t>
      </w:r>
      <w:r>
        <w:rPr>
          <w:iCs/>
          <w:i/>
          <w:color w:val="000000"/>
        </w:rPr>
        <w:t xml:space="preserve">P</w:t>
      </w:r>
      <w:r>
        <w:rPr>
          <w:color w:val="000000"/>
        </w:rPr>
        <w:t xml:space="preserve"> </w:t>
      </w:r>
      <w:r>
        <w:rPr>
          <w:color w:val="000000"/>
        </w:rPr>
        <w:t xml:space="preserve">= 0.323), consistent with the dependence previously observed in UKB and original FinnGen ophthalmopathy. Heterogeneity was present in FinnGen GD for</w:t>
      </w:r>
      <w:r>
        <w:rPr>
          <w:color w:val="000000"/>
        </w:rPr>
        <w:t xml:space="preserve"> </w:t>
      </w:r>
      <w:r>
        <w:rPr>
          <w:iCs/>
          <w:i/>
          <w:color w:val="000000"/>
        </w:rPr>
        <w:t xml:space="preserve">C4A</w:t>
      </w:r>
      <w:r>
        <w:rPr>
          <w:color w:val="000000"/>
        </w:rPr>
        <w:t xml:space="preserve"> </w:t>
      </w:r>
      <w:r>
        <w:rPr>
          <w:color w:val="000000"/>
        </w:rPr>
        <w:t xml:space="preserve">(Q-test</w:t>
      </w:r>
      <w:r>
        <w:rPr>
          <w:color w:val="000000"/>
        </w:rPr>
        <w:t xml:space="preserve"> </w:t>
      </w:r>
      <w:r>
        <w:rPr>
          <w:iCs/>
          <w:i/>
          <w:color w:val="000000"/>
        </w:rPr>
        <w:t xml:space="preserve">P</w:t>
      </w:r>
      <w:r>
        <w:rPr>
          <w:color w:val="000000"/>
        </w:rPr>
        <w:t xml:space="preserve"> </w:t>
      </w:r>
      <w:r>
        <w:rPr>
          <w:color w:val="000000"/>
        </w:rPr>
        <w:t xml:space="preserve">= 1.27×10⁻¹²),</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3.67×10⁻⁵),</w:t>
      </w:r>
      <w:r>
        <w:rPr>
          <w:color w:val="000000"/>
        </w:rPr>
        <w:t xml:space="preserve"> </w:t>
      </w:r>
      <w:r>
        <w:rPr>
          <w:iCs/>
          <w:i/>
          <w:color w:val="000000"/>
        </w:rPr>
        <w:t xml:space="preserve">CTLA4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0.0275) and</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For the first three, cross-dataset associations should therefore be distinguished from agreement among instruments. In BBJ and UKB, two of the four single-variant omissions removed nominal</w:t>
      </w:r>
      <w:r>
        <w:rPr>
          <w:color w:val="000000"/>
        </w:rPr>
        <w:t xml:space="preserve"> </w:t>
      </w:r>
      <w:r>
        <w:rPr>
          <w:iCs/>
          <w:i/>
          <w:color w:val="000000"/>
        </w:rPr>
        <w:t xml:space="preserve">IGF1R</w:t>
      </w:r>
      <w:r>
        <w:rPr>
          <w:color w:val="000000"/>
        </w:rPr>
        <w:t xml:space="preserve"> </w:t>
      </w:r>
      <w:r>
        <w:rPr>
          <w:color w:val="000000"/>
        </w:rPr>
        <w:t xml:space="preserve">significance: rs2654980 in both (</w:t>
      </w:r>
      <w:r>
        <w:rPr>
          <w:iCs/>
          <w:i/>
          <w:color w:val="000000"/>
        </w:rPr>
        <w:t xml:space="preserve">P</w:t>
      </w:r>
      <w:r>
        <w:rPr>
          <w:color w:val="000000"/>
        </w:rPr>
        <w:t xml:space="preserve"> </w:t>
      </w:r>
      <w:r>
        <w:rPr>
          <w:color w:val="000000"/>
        </w:rPr>
        <w:t xml:space="preserve">= 0.0751 and 0.468), rs59467480 in BBJ (</w:t>
      </w:r>
      <w:r>
        <w:rPr>
          <w:iCs/>
          <w:i/>
          <w:color w:val="000000"/>
        </w:rPr>
        <w:t xml:space="preserve">P</w:t>
      </w:r>
      <w:r>
        <w:rPr>
          <w:color w:val="000000"/>
        </w:rPr>
        <w:t xml:space="preserve"> </w:t>
      </w:r>
      <w:r>
        <w:rPr>
          <w:color w:val="000000"/>
        </w:rPr>
        <w:t xml:space="preserve">= 0.0503) and rs117212126 in UKB (</w:t>
      </w:r>
      <w:r>
        <w:rPr>
          <w:iCs/>
          <w:i/>
          <w:color w:val="000000"/>
        </w:rPr>
        <w:t xml:space="preserve">P</w:t>
      </w:r>
      <w:r>
        <w:rPr>
          <w:color w:val="000000"/>
        </w:rPr>
        <w:t xml:space="preserve"> </w:t>
      </w:r>
      <w:r>
        <w:rPr>
          <w:color w:val="000000"/>
        </w:rPr>
        <w:t xml:space="preserve">= 0.0529); FinnGen estimates had not reached nominal significance. This indicates sensitivity to instrument removal, which can reflect changes in precision as well as the contribution of the omitted variant; it does not by itself identify an invalid instrument (Figure S2; Supplementary Dataset).</w:t>
      </w:r>
    </w:p>
    <w:p>
      <w:pPr>
        <w:pStyle w:val="BodyText"/>
      </w:pPr>
      <w:r>
        <w:rPr>
          <w:color w:val="000000"/>
        </w:rPr>
        <w:t xml:space="preserve">Frequency substitution preserved the original 13 BBJ discoveries and the principal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interpretation (Supplementary Dataset, MR_original_freq and MR_new_freq), but not every exploratory FinnGen classification (Table S2). For</w:t>
      </w:r>
      <w:r>
        <w:rPr>
          <w:color w:val="000000"/>
        </w:rPr>
        <w:t xml:space="preserve"> </w:t>
      </w:r>
      <w:r>
        <w:rPr>
          <w:iCs/>
          <w:i/>
          <w:color w:val="000000"/>
        </w:rPr>
        <w:t xml:space="preserve">C4B</w:t>
      </w:r>
      <w:r>
        <w:rPr>
          <w:color w:val="000000"/>
        </w:rPr>
        <w:t xml:space="preserve"> </w:t>
      </w:r>
      <w:r>
        <w:rPr>
          <w:color w:val="000000"/>
        </w:rPr>
        <w:t xml:space="preserve">in FinnGen GD, the MR</w:t>
      </w:r>
      <w:r>
        <w:rPr>
          <w:color w:val="000000"/>
        </w:rPr>
        <w:t xml:space="preserve"> </w:t>
      </w:r>
      <w:r>
        <w:rPr>
          <w:iCs/>
          <w:i/>
          <w:color w:val="000000"/>
        </w:rPr>
        <w:t xml:space="preserve">P</w:t>
      </w:r>
      <w:r>
        <w:rPr>
          <w:color w:val="000000"/>
        </w:rPr>
        <w:t xml:space="preserve"> </w:t>
      </w:r>
      <w:r>
        <w:rPr>
          <w:color w:val="000000"/>
        </w:rPr>
        <w:t xml:space="preserve">value changed from 1.10×10⁻⁵ to 1.48×10⁻⁴, crossing the full-screen threshold; both versions had Q-test</w:t>
      </w:r>
      <w:r>
        <w:rPr>
          <w:color w:val="000000"/>
        </w:rPr>
        <w:t xml:space="preserve"> </w:t>
      </w:r>
      <w:r>
        <w:rPr>
          <w:iCs/>
          <w:i/>
          <w:color w:val="000000"/>
        </w:rPr>
        <w:t xml:space="preserve">P</w:t>
      </w:r>
      <w:r>
        <w:rPr>
          <w:color w:val="000000"/>
        </w:rPr>
        <w:t xml:space="preserve"> </w:t>
      </w:r>
      <w:r>
        <w:rPr>
          <w:color w:val="000000"/>
        </w:rPr>
        <w:t xml:space="preserve">&lt; 10⁻⁶. For</w:t>
      </w:r>
      <w:r>
        <w:rPr>
          <w:color w:val="000000"/>
        </w:rPr>
        <w:t xml:space="preserve"> </w:t>
      </w:r>
      <w:r>
        <w:rPr>
          <w:iCs/>
          <w:i/>
          <w:color w:val="000000"/>
        </w:rPr>
        <w:t xml:space="preserve">HLA-G</w:t>
      </w:r>
      <w:r>
        <w:rPr>
          <w:color w:val="000000"/>
        </w:rPr>
        <w:t xml:space="preserve">,</w:t>
      </w:r>
      <w:r>
        <w:rPr>
          <w:color w:val="000000"/>
        </w:rPr>
        <w:t xml:space="preserve"> </w:t>
      </w:r>
      <w:r>
        <w:rPr>
          <w:iCs/>
          <w:i/>
          <w:color w:val="000000"/>
        </w:rPr>
        <w:t xml:space="preserve">P</w:t>
      </w:r>
      <w:r>
        <w:rPr>
          <w:color w:val="000000"/>
        </w:rPr>
        <w:t xml:space="preserve"> </w:t>
      </w:r>
      <w:r>
        <w:rPr>
          <w:color w:val="000000"/>
        </w:rPr>
        <w:t xml:space="preserve">changed from 0.107 to 1.72×10⁻⁵ as the IVW weight of rs150254595 increased from 21.3% to 58.9%. Omitting this variant left non-significant estimates under either frequency source. Independent calculations reproduced the eight full-set and 72 instrument-omission estimates for these two genes. Precision also varied across the screen. At the discovery threshold, 14.6% and 35.6% of estimable BBJ genes had 80% power to detect ORs of 1.5 and 2.0 under a normal-approximation benchmark; the corresponding FinnGen GD proportions were 24.8% and 52.2% (BBJ: Supplementary Dataset, Detection_original; FinnGen GD: Supplementary Methods).</w:t>
      </w:r>
    </w:p>
    <w:bookmarkEnd w:id="31"/>
    <w:bookmarkStart w:id="32" w:name="colocalization-findings"/>
    <w:p>
      <w:pPr>
        <w:pStyle w:val="Heading3"/>
      </w:pPr>
      <w:r>
        <w:rPr>
          <w:color w:val="000000"/>
        </w:rPr>
        <w:t xml:space="preserve">Colocalization findings</w:t>
      </w:r>
    </w:p>
    <w:p>
      <w:pPr>
        <w:pStyle w:val="FirstParagraph"/>
      </w:pPr>
      <w:r>
        <w:rPr>
          <w:color w:val="000000"/>
        </w:rPr>
        <w:t xml:space="preserve">Regional analyses tested whether the MR associations reflected a variant shared with expression (Figures 2 and 3; Table S3). For</w:t>
      </w:r>
      <w:r>
        <w:rPr>
          <w:color w:val="000000"/>
        </w:rPr>
        <w:t xml:space="preserve"> </w:t>
      </w:r>
      <w:r>
        <w:rPr>
          <w:iCs/>
          <w:i/>
          <w:color w:val="000000"/>
        </w:rPr>
        <w:t xml:space="preserve">TSHR</w:t>
      </w:r>
      <w:r>
        <w:rPr>
          <w:color w:val="000000"/>
        </w:rPr>
        <w:t xml:space="preserve">, PP.H4 was 0.951 in BBJ, 0.986 in FinnGen ophthalmopathy and 0.891 in strict ophthalmopathy under the primary prior. It was lower in UKB (0.226) and FinnGen GD (0.264), where PP.H3 was 0.774 and 0.736, respectively. The latter patterns favored distinct variants under the fitted model despite very small MR</w:t>
      </w:r>
      <w:r>
        <w:rPr>
          <w:color w:val="000000"/>
        </w:rPr>
        <w:t xml:space="preserve"> </w:t>
      </w:r>
      <w:r>
        <w:rPr>
          <w:iCs/>
          <w:i/>
          <w:color w:val="000000"/>
        </w:rPr>
        <w:t xml:space="preserve">P</w:t>
      </w:r>
      <w:r>
        <w:rPr>
          <w:color w:val="000000"/>
        </w:rPr>
        <w:t xml:space="preserve"> </w:t>
      </w:r>
      <w:r>
        <w:rPr>
          <w:color w:val="000000"/>
        </w:rPr>
        <w:t xml:space="preserve">values. This discordance persisted in narrower regions and a common five-outcome variant set. The matched analyses retained the regional disease peaks, and all three FinnGen comparisons shared 6,579 variants in the full cis-region. Lowering the shared-variant prior p12 from 10⁻⁵ to 10⁻⁶ reduced PP.H4 to 0.661 in BBJ, 0.875 in ophthalmopathy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In UKB, expression-only, distinct-variant and shared-variant probabilities were 0.400, 0.196 and 0.404, respectively.</w:t>
      </w:r>
      <w:r>
        <w:rPr>
          <w:color w:val="000000"/>
        </w:rPr>
        <w:t xml:space="preserve"> </w:t>
      </w:r>
      <w:r>
        <w:rPr>
          <w:iCs/>
          <w:i/>
          <w:color w:val="000000"/>
        </w:rPr>
        <w:t xml:space="preserve">CTLA4</w:t>
      </w:r>
      <w:r>
        <w:rPr>
          <w:color w:val="000000"/>
        </w:rPr>
        <w:t xml:space="preserve"> </w:t>
      </w:r>
      <w:r>
        <w:rPr>
          <w:color w:val="000000"/>
        </w:rPr>
        <w:t xml:space="preserve">PP.H4 was 0.201 in BBJ and 0.254 in FinnGen GD, compared with 0.953 in UKB and 0.978 and 0.979 in the two ophthalmopathy endpoints. Neither</w:t>
      </w:r>
      <w:r>
        <w:rPr>
          <w:color w:val="000000"/>
        </w:rPr>
        <w:t xml:space="preserve"> </w:t>
      </w:r>
      <w:r>
        <w:rPr>
          <w:iCs/>
          <w:i/>
          <w:color w:val="000000"/>
        </w:rPr>
        <w:t xml:space="preserve">HLA-DQA2</w:t>
      </w:r>
      <w:r>
        <w:rPr>
          <w:color w:val="000000"/>
        </w:rPr>
        <w:t xml:space="preserve"> </w:t>
      </w:r>
      <w:r>
        <w:rPr>
          <w:color w:val="000000"/>
        </w:rPr>
        <w:t xml:space="preserve">nor</w:t>
      </w:r>
      <w:r>
        <w:rPr>
          <w:color w:val="000000"/>
        </w:rPr>
        <w:t xml:space="preserve"> </w:t>
      </w:r>
      <w:r>
        <w:rPr>
          <w:iCs/>
          <w:i/>
          <w:color w:val="000000"/>
        </w:rPr>
        <w:t xml:space="preserve">TUBB</w:t>
      </w:r>
      <w:r>
        <w:rPr>
          <w:color w:val="000000"/>
        </w:rPr>
        <w:t xml:space="preserve"> </w:t>
      </w:r>
      <w:r>
        <w:rPr>
          <w:color w:val="000000"/>
        </w:rPr>
        <w:t xml:space="preserve">reached PP.H4 of 0.001 in any dataset. No selected gene reached PP.H4 ≥ 0.80 in FinnGen GD; this statement applies to the 24 genes assessed, not all 2,544 screened genes.</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had strong BBJ support (0.994 and 0.989) without consistent support across the other definitions. For the two</w:t>
      </w:r>
      <w:r>
        <w:rPr>
          <w:color w:val="000000"/>
        </w:rPr>
        <w:t xml:space="preserve"> </w:t>
      </w:r>
      <w:r>
        <w:rPr>
          <w:iCs/>
          <w:i/>
          <w:color w:val="000000"/>
        </w:rPr>
        <w:t xml:space="preserve">IGLV</w:t>
      </w:r>
      <w:r>
        <w:rPr>
          <w:color w:val="000000"/>
        </w:rPr>
        <w:t xml:space="preserve"> </w:t>
      </w:r>
      <w:r>
        <w:rPr>
          <w:color w:val="000000"/>
        </w:rPr>
        <w:t xml:space="preserve">genes in BBJ, the absent lead expression variant and weak overlapping expression signals limited interpretation of low PP.H4. The nine additional FinnGen discoveries and sensitivity-selected</w:t>
      </w:r>
      <w:r>
        <w:rPr>
          <w:color w:val="000000"/>
        </w:rPr>
        <w:t xml:space="preserve"> </w:t>
      </w:r>
      <w:r>
        <w:rPr>
          <w:iCs/>
          <w:i/>
          <w:color w:val="000000"/>
        </w:rPr>
        <w:t xml:space="preserve">HLA-G</w:t>
      </w:r>
      <w:r>
        <w:rPr>
          <w:color w:val="000000"/>
        </w:rPr>
        <w:t xml:space="preserve"> </w:t>
      </w:r>
      <w:r>
        <w:rPr>
          <w:color w:val="000000"/>
        </w:rPr>
        <w:t xml:space="preserve">lacked strong support in every dataset. The chromosome 16p11.2 discoveries remained compatible with a shared regional association rather than three independent expression targets.</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ten gene–tissue combinations provided a qualifying instrument, each retaining one SNP after clumping (F = 32.1–61.1). Higher genetically proxied</w:t>
      </w:r>
      <w:r>
        <w:rPr>
          <w:color w:val="000000"/>
        </w:rPr>
        <w:t xml:space="preserve"> </w:t>
      </w:r>
      <w:r>
        <w:rPr>
          <w:iCs/>
          <w:i/>
          <w:color w:val="000000"/>
        </w:rPr>
        <w:t xml:space="preserve">TSHR</w:t>
      </w:r>
      <w:r>
        <w:rPr>
          <w:color w:val="000000"/>
        </w:rPr>
        <w:t xml:space="preserve"> </w:t>
      </w:r>
      <w:r>
        <w:rPr>
          <w:color w:val="000000"/>
        </w:rPr>
        <w:t xml:space="preserve">expression in subcutaneous and visceral adipose was associated with lower FinnGen GD odds (OR 0.36, 95% CI 0.31–0.43;</w:t>
      </w:r>
      <w:r>
        <w:rPr>
          <w:color w:val="000000"/>
        </w:rPr>
        <w:t xml:space="preserve"> </w:t>
      </w:r>
      <w:r>
        <w:rPr>
          <w:iCs/>
          <w:i/>
          <w:color w:val="000000"/>
        </w:rPr>
        <w:t xml:space="preserve">P</w:t>
      </w:r>
      <w:r>
        <w:rPr>
          <w:color w:val="000000"/>
        </w:rPr>
        <w:t xml:space="preserve"> </w:t>
      </w:r>
      <w:r>
        <w:rPr>
          <w:color w:val="000000"/>
        </w:rPr>
        <w:t xml:space="preserve">= 1.28×10⁻³⁴ and OR 0.50, 95% CI 0.43–0.58;</w:t>
      </w:r>
      <w:r>
        <w:rPr>
          <w:color w:val="000000"/>
        </w:rPr>
        <w:t xml:space="preserve"> </w:t>
      </w:r>
      <w:r>
        <w:rPr>
          <w:iCs/>
          <w:i/>
          <w:color w:val="000000"/>
        </w:rPr>
        <w:t xml:space="preserve">P</w:t>
      </w:r>
      <w:r>
        <w:rPr>
          <w:color w:val="000000"/>
        </w:rPr>
        <w:t xml:space="preserve"> </w:t>
      </w:r>
      <w:r>
        <w:rPr>
          <w:color w:val="000000"/>
        </w:rPr>
        <w:t xml:space="preserve">= 4.09×10⁻¹⁹, respectively), with corrected support in BBJ and UKB. Subcutaneous estimates also passed correction in both ophthalmopathy datasets; visceral estimates did not (</w:t>
      </w:r>
      <w:r>
        <w:rPr>
          <w:iCs/>
          <w:i/>
          <w:color w:val="000000"/>
        </w:rPr>
        <w:t xml:space="preserve">P</w:t>
      </w:r>
      <w:r>
        <w:rPr>
          <w:color w:val="000000"/>
        </w:rPr>
        <w:t xml:space="preserve"> </w:t>
      </w:r>
      <w:r>
        <w:rPr>
          <w:color w:val="000000"/>
        </w:rPr>
        <w:t xml:space="preserve">= 0.0368 and 0.186). The two</w:t>
      </w:r>
      <w:r>
        <w:rPr>
          <w:color w:val="000000"/>
        </w:rPr>
        <w:t xml:space="preserve"> </w:t>
      </w:r>
      <w:r>
        <w:rPr>
          <w:iCs/>
          <w:i/>
          <w:color w:val="000000"/>
        </w:rPr>
        <w:t xml:space="preserve">TSHR</w:t>
      </w:r>
      <w:r>
        <w:rPr>
          <w:color w:val="000000"/>
        </w:rPr>
        <w:t xml:space="preserve"> </w:t>
      </w:r>
      <w:r>
        <w:rPr>
          <w:color w:val="000000"/>
        </w:rPr>
        <w:t xml:space="preserve">instruments, rs12101255 and rs74064796,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themselves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4.1×10⁻³⁴ and 6.5×10⁻³⁴).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Neither thyroid nor cultured-fibroblast</w:t>
      </w:r>
      <w:r>
        <w:rPr>
          <w:color w:val="000000"/>
        </w:rPr>
        <w:t xml:space="preserve"> </w:t>
      </w:r>
      <w:r>
        <w:rPr>
          <w:iCs/>
          <w:i/>
          <w:color w:val="000000"/>
        </w:rPr>
        <w:t xml:space="preserve">IGF1R</w:t>
      </w:r>
      <w:r>
        <w:rPr>
          <w:color w:val="000000"/>
        </w:rPr>
        <w:t xml:space="preserve"> </w:t>
      </w:r>
      <w:r>
        <w:rPr>
          <w:color w:val="000000"/>
        </w:rPr>
        <w:t xml:space="preserve">estimates reached</w:t>
      </w:r>
      <w:r>
        <w:rPr>
          <w:color w:val="000000"/>
        </w:rPr>
        <w:t xml:space="preserve"> </w:t>
      </w:r>
      <w:r>
        <w:rPr>
          <w:iCs/>
          <w:i/>
          <w:color w:val="000000"/>
        </w:rPr>
        <w:t xml:space="preserve">P</w:t>
      </w:r>
      <w:r>
        <w:rPr>
          <w:color w:val="000000"/>
        </w:rPr>
        <w:t xml:space="preserve"> </w:t>
      </w:r>
      <w:r>
        <w:rPr>
          <w:color w:val="000000"/>
        </w:rPr>
        <w:t xml:space="preserve">&lt; 0.05 in any dataset. Their FinnGen GD estimates were OR 0.76 (95% CI 0.56–1.02;</w:t>
      </w:r>
      <w:r>
        <w:rPr>
          <w:color w:val="000000"/>
        </w:rPr>
        <w:t xml:space="preserve"> </w:t>
      </w:r>
      <w:r>
        <w:rPr>
          <w:iCs/>
          <w:i/>
          <w:color w:val="000000"/>
        </w:rPr>
        <w:t xml:space="preserve">P</w:t>
      </w:r>
      <w:r>
        <w:rPr>
          <w:color w:val="000000"/>
        </w:rPr>
        <w:t xml:space="preserve"> </w:t>
      </w:r>
      <w:r>
        <w:rPr>
          <w:color w:val="000000"/>
        </w:rPr>
        <w:t xml:space="preserve">= 0.0692), opposite in direction to the blood estimates, and OR 1.11 (95% CI 0.89–1.38;</w:t>
      </w:r>
      <w:r>
        <w:rPr>
          <w:color w:val="000000"/>
        </w:rPr>
        <w:t xml:space="preserve"> </w:t>
      </w:r>
      <w:r>
        <w:rPr>
          <w:iCs/>
          <w:i/>
          <w:color w:val="000000"/>
        </w:rPr>
        <w:t xml:space="preserve">P</w:t>
      </w:r>
      <w:r>
        <w:rPr>
          <w:color w:val="000000"/>
        </w:rPr>
        <w:t xml:space="preserve"> </w:t>
      </w:r>
      <w:r>
        <w:rPr>
          <w:color w:val="000000"/>
        </w:rPr>
        <w:t xml:space="preserve">= 0.359). All 20 estimates and 30 unestimable comparisons are reported (Table S4; Supplementary Dataset, Tissue_extension).</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TED samples exceeded those in the single control (Figure S1). With one control and no confirmatory expression testing, these observations do not establish differential expression or explain the genetic associations.</w:t>
      </w:r>
    </w:p>
    <w:bookmarkEnd w:id="34"/>
    <w:bookmarkEnd w:id="35"/>
    <w:bookmarkStart w:id="38" w:name="discussion"/>
    <w:p>
      <w:pPr>
        <w:pStyle w:val="Heading2"/>
      </w:pPr>
      <w:r>
        <w:rPr>
          <w:color w:val="000000"/>
        </w:rPr>
        <w:t xml:space="preserve">Discussion</w:t>
      </w:r>
    </w:p>
    <w:p>
      <w:pPr>
        <w:pStyle w:val="FirstParagraph"/>
      </w:pPr>
      <w:r>
        <w:rPr>
          <w:color w:val="000000"/>
        </w:rPr>
        <w:t xml:space="preserve">This study addresses how consistently blood expression-related genetic evidence supports two clinically relevant receptors across GD and related disease definitions.</w:t>
      </w:r>
      <w:r>
        <w:rPr>
          <w:color w:val="000000"/>
        </w:rPr>
        <w:t xml:space="preserve"> </w:t>
      </w:r>
      <w:r>
        <w:rPr>
          <w:iCs/>
          <w:i/>
          <w:color w:val="000000"/>
        </w:rPr>
        <w:t xml:space="preserve">TSHR</w:t>
      </w:r>
      <w:r>
        <w:rPr>
          <w:color w:val="000000"/>
        </w:rPr>
        <w:t xml:space="preserve"> </w:t>
      </w:r>
      <w:r>
        <w:rPr>
          <w:color w:val="000000"/>
        </w:rPr>
        <w:t xml:space="preserve">showed associations with lower disease odds in both GD datasets, with concordant directions in broader hyperthyroidism and ophthalmopathy. All</w:t>
      </w:r>
      <w:r>
        <w:rPr>
          <w:color w:val="000000"/>
        </w:rPr>
        <w:t xml:space="preserve"> </w:t>
      </w:r>
      <w:r>
        <w:rPr>
          <w:iCs/>
          <w:i/>
          <w:color w:val="000000"/>
        </w:rPr>
        <w:t xml:space="preserve">IGF1R</w:t>
      </w:r>
      <w:r>
        <w:rPr>
          <w:color w:val="000000"/>
        </w:rPr>
        <w:t xml:space="preserve"> </w:t>
      </w:r>
      <w:r>
        <w:rPr>
          <w:color w:val="000000"/>
        </w:rPr>
        <w:t xml:space="preserve">ORs exceeded 1, but only the BBJ and UKB estimates reached uncorrected</w:t>
      </w:r>
      <w:r>
        <w:rPr>
          <w:color w:val="000000"/>
        </w:rPr>
        <w:t xml:space="preserve"> </w:t>
      </w:r>
      <w:r>
        <w:rPr>
          <w:iCs/>
          <w:i/>
          <w:color w:val="000000"/>
        </w:rPr>
        <w:t xml:space="preserve">P</w:t>
      </w:r>
      <w:r>
        <w:rPr>
          <w:color w:val="000000"/>
        </w:rPr>
        <w:t xml:space="preserve"> </w:t>
      </w:r>
      <w:r>
        <w:rPr>
          <w:color w:val="000000"/>
        </w:rPr>
        <w:t xml:space="preserve">&lt; 0.05, none met the discovery threshold, and the most precise estimate lay close to the null.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both ophthalmopathy endpoints but favored distinct variants in UKB and FinnGen GD, the two datasets with the most cases. The contribution is a comparison of the reproducibility and limitations of these associations within the same analytical framework. It does not establish a difference in biological importance between the receptors, and statistical significance in one gene but not another is not a formal test of different effects.</w:t>
      </w:r>
    </w:p>
    <w:p>
      <w:pPr>
        <w:pStyle w:val="BodyText"/>
      </w:pPr>
      <w:r>
        <w:rPr>
          <w:color w:val="000000"/>
        </w:rPr>
        <w:t xml:space="preserve">Our findings extend an existing body of genetic evidence. Ji and colleagues had already linked blood</w:t>
      </w:r>
      <w:r>
        <w:rPr>
          <w:color w:val="000000"/>
        </w:rPr>
        <w:t xml:space="preserve"> </w:t>
      </w:r>
      <w:r>
        <w:rPr>
          <w:iCs/>
          <w:i/>
          <w:color w:val="000000"/>
        </w:rPr>
        <w:t xml:space="preserve">TSHR</w:t>
      </w:r>
      <w:r>
        <w:rPr>
          <w:color w:val="000000"/>
        </w:rPr>
        <w:t xml:space="preserve"> </w:t>
      </w:r>
      <w:r>
        <w:rPr>
          <w:color w:val="000000"/>
        </w:rPr>
        <w:t xml:space="preserve">expression to GD in an earlier FinnGen release and reported support in FinnGen ophthalmopathy [9]; recent integrative work has also investigated</w:t>
      </w:r>
      <w:r>
        <w:rPr>
          <w:color w:val="000000"/>
        </w:rPr>
        <w:t xml:space="preserve"> </w:t>
      </w:r>
      <w:r>
        <w:rPr>
          <w:iCs/>
          <w:i/>
          <w:color w:val="000000"/>
        </w:rPr>
        <w:t xml:space="preserve">TSHR</w:t>
      </w:r>
      <w:r>
        <w:rPr>
          <w:color w:val="000000"/>
        </w:rPr>
        <w:t xml:space="preserve"> </w:t>
      </w:r>
      <w:r>
        <w:rPr>
          <w:color w:val="000000"/>
        </w:rPr>
        <w:t xml:space="preserve">in GD and ophthalmopathy [11]. We add a focused comparison with</w:t>
      </w:r>
      <w:r>
        <w:rPr>
          <w:color w:val="000000"/>
        </w:rPr>
        <w:t xml:space="preserve"> </w:t>
      </w:r>
      <w:r>
        <w:rPr>
          <w:iCs/>
          <w:i/>
          <w:color w:val="000000"/>
        </w:rPr>
        <w:t xml:space="preserve">IGF1R</w:t>
      </w:r>
      <w:r>
        <w:rPr>
          <w:color w:val="000000"/>
        </w:rPr>
        <w:t xml:space="preserve">, a GD comparison spanning BBJ and FinnGen, and an assessment of both genes alongside the wider druggable-gene screen. The result is consistent association evidence for</w:t>
      </w:r>
      <w:r>
        <w:rPr>
          <w:color w:val="000000"/>
        </w:rPr>
        <w:t xml:space="preserve"> </w:t>
      </w:r>
      <w:r>
        <w:rPr>
          <w:iCs/>
          <w:i/>
          <w:color w:val="000000"/>
        </w:rPr>
        <w:t xml:space="preserve">TSHR</w:t>
      </w:r>
      <w:r>
        <w:rPr>
          <w:color w:val="000000"/>
        </w:rPr>
        <w:t xml:space="preserve">, limited evidence for</w:t>
      </w:r>
      <w:r>
        <w:rPr>
          <w:color w:val="000000"/>
        </w:rPr>
        <w:t xml:space="preserve"> </w:t>
      </w:r>
      <w:r>
        <w:rPr>
          <w:iCs/>
          <w:i/>
          <w:color w:val="000000"/>
        </w:rPr>
        <w:t xml:space="preserve">IGF1R</w:t>
      </w:r>
      <w:r>
        <w:rPr>
          <w:color w:val="000000"/>
        </w:rPr>
        <w:t xml:space="preserve">, and an explicit distinction between strong MR associations and variable regional support for expression-mediated causality. This comparison uses shared public resources, including eQTLGen and FinnGen, so agreement with earlier work is not wholly independent replication. Different MR methods, FinnGen releases and colocalization settings also preclude interpreting differences between reports as direct contradictions. Our additional evidence concerns the consistency and sensitivity of the associations, rather than discovery of a new susceptibility locus.</w:t>
      </w:r>
    </w:p>
    <w:p>
      <w:pPr>
        <w:pStyle w:val="BodyText"/>
      </w:pPr>
      <w:r>
        <w:rPr>
          <w:color w:val="000000"/>
        </w:rPr>
        <w:t xml:space="preserve">The other associated genes provide useful context for this central comparison.</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accompanied</w:t>
      </w:r>
      <w:r>
        <w:rPr>
          <w:color w:val="000000"/>
        </w:rPr>
        <w:t xml:space="preserve"> </w:t>
      </w:r>
      <w:r>
        <w:rPr>
          <w:iCs/>
          <w:i/>
          <w:color w:val="000000"/>
        </w:rPr>
        <w:t xml:space="preserve">TSHR</w:t>
      </w:r>
      <w:r>
        <w:rPr>
          <w:color w:val="000000"/>
        </w:rPr>
        <w:t xml:space="preserve"> </w:t>
      </w:r>
      <w:r>
        <w:rPr>
          <w:color w:val="000000"/>
        </w:rPr>
        <w:t xml:space="preserve">among genes meeting the full-screen threshold in both GD datasets. The multi-instrument European</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w:t>
      </w:r>
      <w:r>
        <w:rPr>
          <w:color w:val="000000"/>
        </w:rPr>
        <w:t xml:space="preserve"> </w:t>
      </w:r>
      <w:r>
        <w:rPr>
          <w:iCs/>
          <w:i/>
          <w:color w:val="000000"/>
        </w:rPr>
        <w:t xml:space="preserve">CTLA4</w:t>
      </w:r>
      <w:r>
        <w:rPr>
          <w:color w:val="000000"/>
        </w:rPr>
        <w:t xml:space="preserve">’s direction-consistent associations across all five outcomes support its use as an autoimmune comparator.</w:t>
      </w:r>
      <w:r>
        <w:rPr>
          <w:color w:val="000000"/>
        </w:rPr>
        <w:t xml:space="preserve"> </w:t>
      </w:r>
      <w:r>
        <w:rPr>
          <w:iCs/>
          <w:i/>
          <w:color w:val="000000"/>
        </w:rPr>
        <w:t xml:space="preserve">HLA-DQA2</w:t>
      </w:r>
      <w:r>
        <w:rPr>
          <w:color w:val="000000"/>
        </w:rPr>
        <w:t xml:space="preserve"> </w:t>
      </w:r>
      <w:r>
        <w:rPr>
          <w:color w:val="000000"/>
        </w:rPr>
        <w:t xml:space="preserve">was consistent across GD and ophthalmopathy definitions but not UKB hyperthyroidism, while</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showed substantial instrument heterogeneity. The strongest BBJ association,</w:t>
      </w:r>
      <w:r>
        <w:rPr>
          <w:color w:val="000000"/>
        </w:rPr>
        <w:t xml:space="preserve"> </w:t>
      </w:r>
      <w:r>
        <w:rPr>
          <w:iCs/>
          <w:i/>
          <w:color w:val="000000"/>
        </w:rPr>
        <w:t xml:space="preserve">HLA-A</w:t>
      </w:r>
      <w:r>
        <w:rPr>
          <w:color w:val="000000"/>
        </w:rPr>
        <w:t xml:space="preserve">, did not persist in FinnGen GD, illustrating why a smaller discovery</w:t>
      </w:r>
      <w:r>
        <w:rPr>
          <w:color w:val="000000"/>
        </w:rPr>
        <w:t xml:space="preserve"> </w:t>
      </w:r>
      <w:r>
        <w:rPr>
          <w:iCs/>
          <w:i/>
          <w:color w:val="000000"/>
        </w:rPr>
        <w:t xml:space="preserve">P</w:t>
      </w:r>
      <w:r>
        <w:rPr>
          <w:color w:val="000000"/>
        </w:rPr>
        <w:t xml:space="preserve"> </w:t>
      </w:r>
      <w:r>
        <w:rPr>
          <w:color w:val="000000"/>
        </w:rPr>
        <w:t xml:space="preserve">value does not necessarily identify a more transferable gene-specific association. Shared instruments and complex MHC linkage further prevent counting every associated expression trait as an independent causal target.</w:t>
      </w:r>
    </w:p>
    <w:p>
      <w:pPr>
        <w:pStyle w:val="BodyText"/>
      </w:pPr>
      <w:r>
        <w:rPr>
          <w:color w:val="000000"/>
        </w:rPr>
        <w:t xml:space="preserve">The lower-odds direction for</w:t>
      </w:r>
      <w:r>
        <w:rPr>
          <w:color w:val="000000"/>
        </w:rPr>
        <w:t xml:space="preserve"> </w:t>
      </w:r>
      <w:r>
        <w:rPr>
          <w:iCs/>
          <w:i/>
          <w:color w:val="000000"/>
        </w:rPr>
        <w:t xml:space="preserve">TSHR</w:t>
      </w:r>
      <w:r>
        <w:rPr>
          <w:color w:val="000000"/>
        </w:rPr>
        <w:t xml:space="preserve"> </w:t>
      </w:r>
      <w:r>
        <w:rPr>
          <w:color w:val="000000"/>
        </w:rPr>
        <w:t xml:space="preserve">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in both reference populations. The latter is the GD-protective allele associated with greater thymic transcription in published studies [27, 28] and also increased blood expression in eQTLGen. This directional consistency is compatible with a central-tolerance explanation, but the thymic step was not tested here, and this consistency does not demonstrate that thymic expression mediates the disease association. These linked variants are not independent replications or proven causal regulators. The marked departure of the MR ORs from 1 reflects scaling: rs179252 shifts reconstructed blood expression by only about 0.11 SD, and its per-allele disease ORs were 0.80 (BBJ), 0.77 (UKB), 0.78 (FinnGen ophthalmopathy), 0.77 (FinnGen GD) and 0.82 (strict ophthalmopathy). Dividing these moderate per-allele effects by the small expression effect yields the per-SD ORs, which should not be translated into the effect of experimentally increasing</w:t>
      </w:r>
      <w:r>
        <w:rPr>
          <w:color w:val="000000"/>
        </w:rPr>
        <w:t xml:space="preserve"> </w:t>
      </w:r>
      <w:r>
        <w:rPr>
          <w:iCs/>
          <w:i/>
          <w:color w:val="000000"/>
        </w:rPr>
        <w:t xml:space="preserve">TSHR</w:t>
      </w:r>
      <w:r>
        <w:rPr>
          <w:color w:val="000000"/>
        </w:rPr>
        <w:t xml:space="preserve"> </w:t>
      </w:r>
      <w:r>
        <w:rPr>
          <w:color w:val="000000"/>
        </w:rPr>
        <w:t xml:space="preserve">expression. The adipose instruments tag the same intron-1 region as rs179252 and are themselves blood eQTLs, so their concordant estimates re-express this regional association. They cannot address the distinct-variant pattern in UKB and FinnGen GD, establish an adipose-mediated mechanism or provide independent causal replication.</w:t>
      </w:r>
    </w:p>
    <w:p>
      <w:pPr>
        <w:pStyle w:val="BodyText"/>
      </w:pPr>
      <w:r>
        <w:rPr>
          <w:color w:val="000000"/>
        </w:rPr>
        <w:t xml:space="preserve">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relevant, but they do not show that an A-subunit shed by human orbital fibroblasts, acting alone, causes TED independently of GD. Our instruments do not measure receptor cleavage or antibody activity. The ophthalmopathy comparisons use population controls and overlapping FinnGen endpoints, so neither their MR estimates nor their higher colocalization probabilities establish a TED-specific effect within GD or a difference between GD and TED.</w:t>
      </w:r>
    </w:p>
    <w:p>
      <w:pPr>
        <w:pStyle w:val="BodyText"/>
      </w:pPr>
      <w:r>
        <w:rPr>
          <w:color w:val="000000"/>
        </w:rPr>
        <w:t xml:space="preserve">For</w:t>
      </w:r>
      <w:r>
        <w:rPr>
          <w:color w:val="000000"/>
        </w:rPr>
        <w:t xml:space="preserve"> </w:t>
      </w:r>
      <w:r>
        <w:rPr>
          <w:iCs/>
          <w:i/>
          <w:color w:val="000000"/>
        </w:rPr>
        <w:t xml:space="preserve">IGF1R</w:t>
      </w:r>
      <w:r>
        <w:rPr>
          <w:color w:val="000000"/>
        </w:rPr>
        <w:t xml:space="preserve">, the defensible conclusion is that blood expression-related genetic evidence was limited in this analysis. Concordant ORs above 1 are worth reporting, but the two nominal associations and the imprecise ophthalmopathy estimates do not establish a confirmed susceptibility effect. Loss of nominal significance after omitting single variants further limits confidence in the original estimates, although instrument removal also reduces precision. With 80% power at</w:t>
      </w:r>
      <w:r>
        <w:rPr>
          <w:color w:val="000000"/>
        </w:rPr>
        <w:t xml:space="preserve"> </w:t>
      </w:r>
      <w:r>
        <w:rPr>
          <w:iCs/>
          <w:i/>
          <w:color w:val="000000"/>
        </w:rPr>
        <w:t xml:space="preserve">P</w:t>
      </w:r>
      <w:r>
        <w:rPr>
          <w:color w:val="000000"/>
        </w:rPr>
        <w:t xml:space="preserve"> </w:t>
      </w:r>
      <w:r>
        <w:rPr>
          <w:color w:val="000000"/>
        </w:rPr>
        <w:t xml:space="preserve">&lt; 0.05, the FinnGen GD analysis could detect an</w:t>
      </w:r>
      <w:r>
        <w:rPr>
          <w:color w:val="000000"/>
        </w:rPr>
        <w:t xml:space="preserve"> </w:t>
      </w:r>
      <w:r>
        <w:rPr>
          <w:iCs/>
          <w:i/>
          <w:color w:val="000000"/>
        </w:rPr>
        <w:t xml:space="preserve">IGF1R</w:t>
      </w:r>
      <w:r>
        <w:rPr>
          <w:color w:val="000000"/>
        </w:rPr>
        <w:t xml:space="preserve"> </w:t>
      </w:r>
      <w:r>
        <w:rPr>
          <w:color w:val="000000"/>
        </w:rPr>
        <w:t xml:space="preserve">OR of about 1.36, so it constrains larger blood-expression effects but not modest ones. The fixed-panel extension found no nominal association for thyroid or cultured-fibroblast</w:t>
      </w:r>
      <w:r>
        <w:rPr>
          <w:color w:val="000000"/>
        </w:rPr>
        <w:t xml:space="preserve"> </w:t>
      </w:r>
      <w:r>
        <w:rPr>
          <w:iCs/>
          <w:i/>
          <w:color w:val="000000"/>
        </w:rPr>
        <w:t xml:space="preserve">IGF1R</w:t>
      </w:r>
      <w:r>
        <w:rPr>
          <w:color w:val="000000"/>
        </w:rPr>
        <w:t xml:space="preserve">, and directions were inconsistent across datasets. The confidence intervals, single-instrument design and lack of orbital eQTLs preclude excluding a clinically relevant effect. Cultured fibroblasts are not orbital fibroblasts, and the unestimable tissue combinations are not negative findings.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efficacy rests on a randomized trial in active TED [3], and experimental TSHR–IGF-1R crosstalk [5] concerns receptor signaling rather than inherited susceptibility. The results do not demonstrate that</w:t>
      </w:r>
      <w:r>
        <w:rPr>
          <w:color w:val="000000"/>
        </w:rPr>
        <w:t xml:space="preserve"> </w:t>
      </w:r>
      <w:r>
        <w:rPr>
          <w:iCs/>
          <w:i/>
          <w:color w:val="000000"/>
        </w:rPr>
        <w:t xml:space="preserve">IGF1R</w:t>
      </w:r>
      <w:r>
        <w:rPr>
          <w:color w:val="000000"/>
        </w:rPr>
        <w:t xml:space="preserve"> </w:t>
      </w:r>
      <w:r>
        <w:rPr>
          <w:color w:val="000000"/>
        </w:rPr>
        <w:t xml:space="preserve">acts only downstream, or that an association would necessarily become detectable using orbital tissue. The small descriptive orbital series cannot resolve either question.</w:t>
      </w:r>
    </w:p>
    <w:p>
      <w:pPr>
        <w:pStyle w:val="BodyText"/>
      </w:pPr>
      <w:r>
        <w:rPr>
          <w:color w:val="000000"/>
        </w:rPr>
        <w:t xml:space="preserve">Colocalization does not replace the MR associations, but it constrains causal wording. Strong</w:t>
      </w:r>
      <w:r>
        <w:rPr>
          <w:color w:val="000000"/>
        </w:rPr>
        <w:t xml:space="preserve"> </w:t>
      </w:r>
      <w:r>
        <w:rPr>
          <w:iCs/>
          <w:i/>
          <w:color w:val="000000"/>
        </w:rPr>
        <w:t xml:space="preserve">TSHR</w:t>
      </w:r>
      <w:r>
        <w:rPr>
          <w:color w:val="000000"/>
        </w:rPr>
        <w:t xml:space="preserve"> </w:t>
      </w:r>
      <w:r>
        <w:rPr>
          <w:color w:val="000000"/>
        </w:rPr>
        <w:t xml:space="preserve">associations in UKB and FinnGen GD coexisted with H3-dominant regional patterns, and BBJ and strict ophthalmopathy support weakened under a lower shared-variant prior. Thus, association strength and evidence for a shared causal variant were not interchangeable. UKB and FinnGen GD had the most cases of the five datasets; their distinct-variant patterns could reflect finer resolution of a complex regional architecture rather than weaker association, but this was not tested. Ji and colleagues chose a shared-variant prior intended to allow weaker signals to colocalize and accepted PP.H4 above 0.50 [9], whereas our primary settings used p12 = 10⁻⁵ and PP.H4 ≥ 0.80. These differences further discourage comparing binary colocalization labels across studies without considering the model settings. Single-causal-variant assumptions, ancestry differences and signal coverage can affect these posterior probabilities, particularly in complex immune regions. The regional checks excluded a simple missing-peak explanation for</w:t>
      </w:r>
      <w:r>
        <w:rPr>
          <w:color w:val="000000"/>
        </w:rPr>
        <w:t xml:space="preserve"> </w:t>
      </w:r>
      <w:r>
        <w:rPr>
          <w:iCs/>
          <w:i/>
          <w:color w:val="000000"/>
        </w:rPr>
        <w:t xml:space="preserve">TSHR</w:t>
      </w:r>
      <w:r>
        <w:rPr>
          <w:color w:val="000000"/>
        </w:rPr>
        <w:t xml:space="preserve"> </w:t>
      </w:r>
      <w:r>
        <w:rPr>
          <w:color w:val="000000"/>
        </w:rPr>
        <w:t xml:space="preserve">but did not establish the correct causal architecture.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strong MR findings without shared-variant support warrant reporting as associated signals rather than validated expression targets. Multi-signal analysis could clarify some discordance [33], but low PP.H4 neither erases a disease association nor by itself proves that the modeled expression has no causal role.</w:t>
      </w:r>
    </w:p>
    <w:p>
      <w:pPr>
        <w:pStyle w:val="BodyText"/>
      </w:pPr>
      <w:r>
        <w:rPr>
          <w:color w:val="000000"/>
        </w:rPr>
        <w:t xml:space="preserve">The sensitivity analyses identify which qualifications matter for the central comparison. Frequency substitution preserved the original BBJ discovery set, whereas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changed significance classifications through altered effect scaling and instrument weighting. Instrument omission identified concentrated evidence for</w:t>
      </w:r>
      <w:r>
        <w:rPr>
          <w:color w:val="000000"/>
        </w:rPr>
        <w:t xml:space="preserve"> </w:t>
      </w:r>
      <w:r>
        <w:rPr>
          <w:iCs/>
          <w:i/>
          <w:color w:val="000000"/>
        </w:rPr>
        <w:t xml:space="preserve">CTLA4</w:t>
      </w:r>
      <w:r>
        <w:rPr>
          <w:color w:val="000000"/>
        </w:rPr>
        <w:t xml:space="preserve"> </w:t>
      </w:r>
      <w:r>
        <w:rPr>
          <w:color w:val="000000"/>
        </w:rPr>
        <w:t xml:space="preserve">and reduced statistical support for</w:t>
      </w:r>
      <w:r>
        <w:rPr>
          <w:color w:val="000000"/>
        </w:rPr>
        <w:t xml:space="preserve"> </w:t>
      </w:r>
      <w:r>
        <w:rPr>
          <w:iCs/>
          <w:i/>
          <w:color w:val="000000"/>
        </w:rPr>
        <w:t xml:space="preserve">IGF1R</w:t>
      </w:r>
      <w:r>
        <w:rPr>
          <w:color w:val="000000"/>
        </w:rPr>
        <w:t xml:space="preserve">. These checks reuse the same data and do not supply independent replication. For researchers evaluating TSHR and IGF-1R, the added answer is that blood expression-related associations are more consistently supported for</w:t>
      </w:r>
      <w:r>
        <w:rPr>
          <w:color w:val="000000"/>
        </w:rPr>
        <w:t xml:space="preserve"> </w:t>
      </w:r>
      <w:r>
        <w:rPr>
          <w:iCs/>
          <w:i/>
          <w:color w:val="000000"/>
        </w:rPr>
        <w:t xml:space="preserve">TSHR</w:t>
      </w:r>
      <w:r>
        <w:rPr>
          <w:color w:val="000000"/>
        </w:rPr>
        <w:t xml:space="preserve">, while its tissue mechanism and the extent of an inherited</w:t>
      </w:r>
      <w:r>
        <w:rPr>
          <w:color w:val="000000"/>
        </w:rPr>
        <w:t xml:space="preserve"> </w:t>
      </w:r>
      <w:r>
        <w:rPr>
          <w:iCs/>
          <w:i/>
          <w:color w:val="000000"/>
        </w:rPr>
        <w:t xml:space="preserve">IGF1R</w:t>
      </w:r>
      <w:r>
        <w:rPr>
          <w:color w:val="000000"/>
        </w:rPr>
        <w:t xml:space="preserve"> </w:t>
      </w:r>
      <w:r>
        <w:rPr>
          <w:color w:val="000000"/>
        </w:rPr>
        <w:t xml:space="preserve">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bookmarkStart w:id="36" w:name="limitations"/>
    <w:p>
      <w:pPr>
        <w:pStyle w:val="Heading3"/>
      </w:pPr>
      <w:r>
        <w:rPr>
          <w:color w:val="000000"/>
        </w:rPr>
        <w:t xml:space="preserve">Limitations</w:t>
      </w:r>
    </w:p>
    <w:p>
      <w:pPr>
        <w:pStyle w:val="FirstParagraph"/>
      </w:pPr>
      <w:r>
        <w:rPr>
          <w:color w:val="000000"/>
        </w:rPr>
        <w:t xml:space="preserve">The principal limitations involve the exposure and phenotype definitions. Predominantly European blood eQTL effects were applied to BBJ, requiring transferability of expression associations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which uses a release excluding Framingham participants, addresses only part of expression reconstruction. It does not establish correct tissue specificity, remove LD-reference limitations or independently validate rare-variant effects. The orbital series has a single control, no external replication and no inferential role. The GTEx extension had four estimable combinations, each with one instrument, and predominantly European rather than ancestry-homogeneous exposure data. It reused the disease datasets and lacked tissue-specific regional colocalization.</w:t>
      </w:r>
    </w:p>
    <w:p>
      <w:pPr>
        <w:pStyle w:val="BodyText"/>
      </w:pPr>
      <w:r>
        <w:rPr>
          <w:color w:val="000000"/>
        </w:rPr>
        <w:t xml:space="preserve">The analytical limitations include post hoc selection, few instruments and a single-causal-variant colocalization model.</w:t>
      </w:r>
      <w:r>
        <w:rPr>
          <w:color w:val="000000"/>
        </w:rPr>
        <w:t xml:space="preserve"> </w:t>
      </w:r>
      <w:r>
        <w:rPr>
          <w:iCs/>
          <w:i/>
          <w:color w:val="000000"/>
        </w:rPr>
        <w:t xml:space="preserve">TSHR</w:t>
      </w:r>
      <w:r>
        <w:rPr>
          <w:color w:val="000000"/>
        </w:rPr>
        <w:t xml:space="preserve"> </w:t>
      </w:r>
      <w:r>
        <w:rPr>
          <w:color w:val="000000"/>
        </w:rPr>
        <w:t xml:space="preserve">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Neither a non-significant MR result nor a posterior below 0.80 establishes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showed strong, directionally consistent associations with lower odds of GD and related phenotypes, whereas</w:t>
      </w:r>
      <w:r>
        <w:rPr>
          <w:color w:val="000000"/>
        </w:rPr>
        <w:t xml:space="preserve"> </w:t>
      </w:r>
      <w:r>
        <w:rPr>
          <w:iCs/>
          <w:i/>
          <w:color w:val="000000"/>
        </w:rPr>
        <w:t xml:space="preserve">IGF1R</w:t>
      </w:r>
      <w:r>
        <w:rPr>
          <w:color w:val="000000"/>
        </w:rPr>
        <w:t xml:space="preserve"> </w:t>
      </w:r>
      <w:r>
        <w:rPr>
          <w:color w:val="000000"/>
        </w:rPr>
        <w:t xml:space="preserve">evidence was weaker and imprecise.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the ophthalmopathy endpoints, partly prior-dependently, but not in UKB or FinnGen GD, so these data establish association rather than expression-mediated causality. Single-variant adipose instruments from the same locus added concordant estimates but not independent tissue evidence.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the therapeutic relevance of IGF-1R blockade. Experimental TSHR autoimmunity provides biological context for orbital involvement, but this study does not establish that pathway or isolate TED susceptibility within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2026-10-14T15:53:13Z</dcterms:created>
  <dcterms:modified xsi:type="dcterms:W3CDTF">2026-10-14T15:53:13Z</dcterms:modified>
  <cp:lastModifiedBy/>
  <dc:description/>
</cp:coreProperties>
</file>

<file path=docProps/custom.xml><?xml version="1.0" encoding="utf-8"?>
<Properties xmlns="http://schemas.openxmlformats.org/officeDocument/2006/custom-properties" xmlns:vt="http://schemas.openxmlformats.org/officeDocument/2006/docPropsVTypes"/>
</file>