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STROBE-MR reporting crosswalk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848"/>
      </w:tblGrid>
      <w:tr>
        <w:trPr>
          <w:tblHeader/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/>
                <w:color w:val="000000"/>
                <w:sz w:val="19"/>
              </w:rPr>
              <w:t>STROBE-MR item(s)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/>
                <w:color w:val="000000"/>
                <w:sz w:val="19"/>
              </w:rPr>
              <w:t>Location / reporting status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 Title and abstract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MR associations and colocalization results, including non-colocalization in UKB and FinnGen GD, stated in Abstract; title identifies genes and diseases.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2–3 Background and objectives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 xml:space="preserve">Introduction; comparative </w:t>
            </w:r>
            <w:r>
              <w:rPr>
                <w:b w:val="0"/>
                <w:i/>
                <w:color w:val="000000"/>
                <w:sz w:val="19"/>
              </w:rPr>
              <w:t>TSHR</w:t>
            </w:r>
            <w:r>
              <w:rPr>
                <w:b w:val="0"/>
                <w:color w:val="000000"/>
                <w:sz w:val="19"/>
              </w:rPr>
              <w:t>/</w:t>
            </w:r>
            <w:r>
              <w:rPr>
                <w:b w:val="0"/>
                <w:i/>
                <w:color w:val="000000"/>
                <w:sz w:val="19"/>
              </w:rPr>
              <w:t>IGF1R</w:t>
            </w:r>
            <w:r>
              <w:rPr>
                <w:b w:val="0"/>
                <w:i w:val="0"/>
                <w:color w:val="000000"/>
                <w:sz w:val="19"/>
              </w:rPr>
              <w:t xml:space="preserve"> susceptibility question, not treatment efficacy.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4 Study design and sources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Methods; Table 1; original vs post hoc analyses and revised reporting emphasis distinguished. No prospective registration.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5 Assumptions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Introduction, Methods and Limitations: relevance, pleiotropy limitations, ancestry transfer and tissue relevance.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6 Statistical methods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Wald/IVW, harmonization, effect reconstruction, thresholds, coloc hypotheses and priors in Methods/Supplementary Methods.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7 Assessment of assumptions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F statistics, Q, original alternative estimators, variant coverage; direct confounding/pleiotropy validation unavailable.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8 Sensitivity analyses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i w:val="0"/>
                <w:color w:val="000000"/>
                <w:sz w:val="19"/>
              </w:rPr>
              <w:t>Frequency, windows, priors, omissions, allele audit and fixed GTEx panel. No multi-signal coloc or Steiger test.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9 Software and registration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Methods; pinned R/package versions; no prospective study registration.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10 Descriptive data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Table 1; 2,544 eligible genes; estimable counts; case/control counts. Individual demographics not available.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11 Main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 xml:space="preserve">Results: </w:t>
            </w:r>
            <w:r>
              <w:rPr>
                <w:b w:val="0"/>
                <w:i/>
                <w:color w:val="000000"/>
                <w:sz w:val="19"/>
              </w:rPr>
              <w:t>TSHR</w:t>
            </w:r>
            <w:r>
              <w:rPr>
                <w:b w:val="0"/>
                <w:color w:val="000000"/>
                <w:sz w:val="19"/>
              </w:rPr>
              <w:t>/</w:t>
            </w:r>
            <w:r>
              <w:rPr>
                <w:b w:val="0"/>
                <w:i/>
                <w:color w:val="000000"/>
                <w:sz w:val="19"/>
              </w:rPr>
              <w:t>IGF1R</w:t>
            </w:r>
            <w:r>
              <w:rPr>
                <w:b w:val="0"/>
                <w:i w:val="0"/>
                <w:color w:val="000000"/>
                <w:sz w:val="19"/>
              </w:rPr>
              <w:t xml:space="preserve"> associations and corroborating genes; Table 2 (15 comparisons), Table 3, Figures 1–3 and full workbook.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12 Assumption assessment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Instrument heterogeneity/concentration and coloc discordance described in Results; limitations retained.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13 Sensitivity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i w:val="0"/>
                <w:color w:val="000000"/>
                <w:sz w:val="19"/>
              </w:rPr>
              <w:t>Tables S1–S4; Figure S2; workbook frequency, omission, detection, allele and tissue sheets, including all 50 planned tissue comparisons.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14 Key results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 xml:space="preserve">Opening Discussion and Conclusions: consistent </w:t>
            </w:r>
            <w:r>
              <w:rPr>
                <w:b w:val="0"/>
                <w:i/>
                <w:color w:val="000000"/>
                <w:sz w:val="19"/>
              </w:rPr>
              <w:t>TSHR</w:t>
            </w:r>
            <w:r>
              <w:rPr>
                <w:b w:val="0"/>
                <w:color w:val="000000"/>
                <w:sz w:val="19"/>
              </w:rPr>
              <w:t xml:space="preserve"> associations and limited </w:t>
            </w:r>
            <w:r>
              <w:rPr>
                <w:b w:val="0"/>
                <w:i/>
                <w:color w:val="000000"/>
                <w:sz w:val="19"/>
              </w:rPr>
              <w:t>IGF1R</w:t>
            </w:r>
            <w:r>
              <w:rPr>
                <w:b w:val="0"/>
                <w:color w:val="000000"/>
                <w:sz w:val="19"/>
              </w:rPr>
              <w:t xml:space="preserve"> evidence; no expression-mediated causal proof.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15 Limitations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Two paragraphs; selection, overlap, ancestry, tissue, coverage, instruments, single-signal model and unperformed tests.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16 Interpretation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Eight Discussion paragraphs; A-subunit and orbital fibroblast evidence is external biological context. No GD/TED independence or treatment-prediction claim.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17 Generalizability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Blood exposure, ancestry and phenotype limitations; no patient-level subgroup conclusions.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18 Funding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Declarations (Funding).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19 Data and sharing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Supplementary Dataset and source repositories (Data availability); analysis code available from the corresponding author on reasonable request.</w:t>
            </w:r>
          </w:p>
        </w:tc>
      </w:tr>
      <w:tr>
        <w:trPr>
          <w:cantSplit/>
        </w:trPr>
        <w:tc>
          <w:tcPr>
            <w:tcW w:type="dxa" w:w="2232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20 Conflicts</w:t>
            </w:r>
          </w:p>
        </w:tc>
        <w:tc>
          <w:tcPr>
            <w:tcW w:type="dxa" w:w="7848"/>
            <w:tcMar>
              <w:top w:w="65" w:type="dxa"/>
              <w:left w:w="65" w:type="dxa"/>
              <w:bottom w:w="65" w:type="dxa"/>
              <w:right w:w="65" w:type="dxa"/>
            </w:tcMar>
            <w:tcBorders>
              <w:bottom w:val="single" w:sz="4" w:color="BFC6CA"/>
            </w:tcBorders>
          </w:tcPr>
          <w:p>
            <w:pPr>
              <w:spacing w:after="40" w:before="40" w:line="252" w:lineRule="auto"/>
            </w:pPr>
            <w:r>
              <w:rPr>
                <w:b w:val="0"/>
                <w:color w:val="000000"/>
                <w:sz w:val="19"/>
              </w:rPr>
              <w:t>Declarations (Conflict of interest).</w:t>
            </w:r>
          </w:p>
        </w:tc>
      </w:tr>
    </w:tbl>
    <w:p>
      <w:pPr>
        <w:spacing w:before="160"/>
      </w:pPr>
      <w:r>
        <w:rPr>
          <w:sz w:val="18"/>
        </w:rPr>
        <w:t>This crosswalk documents what is and is not reported; it is not certification of methodological validity or an official journal form.</w:t>
      </w:r>
    </w:p>
    <w:sectPr w:rsidR="00FC693F" w:rsidRPr="0006063C" w:rsidSect="00034616">
      <w:footerReference w:type="default" r:id="rId9"/>
      <w:pgSz w:w="11909" w:h="16834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 w:cs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0" w:lineRule="auto"/>
    </w:pPr>
    <w:rPr>
      <w:rFonts w:ascii="Times New Roman" w:hAnsi="Times New Roman" w:eastAsia="Times New Roman" w:cs="Times New Roman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TSHR and IGF1R in Graves disease and thyroid eye disease: genetic evidence from blood expression</dc:title>
  <dc:subject/>
  <dc:creator>Jungyul Park; Min-Seon Kim; Kyung-Hwa Shin; Suk-Woo Yang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