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The exact endpoint definitions and source manifests are retained with the analysis verification records.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primary FinnGen GD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Significant cis-eQTL instruments (</w:t>
      </w:r>
      <w:r>
        <w:rPr>
          <w:iCs/>
          <w:i/>
          <w:color w:val="000000"/>
        </w:rPr>
        <w:t xml:space="preserve">P</w:t>
      </w:r>
      <w:r>
        <w:rPr>
          <w:color w:val="000000"/>
        </w:rPr>
        <w:t xml:space="preserve"> </w:t>
      </w:r>
      <w:r>
        <w:rPr>
          <w:color w:val="000000"/>
        </w:rPr>
        <w:t xml:space="preserve">&lt; 5×10⁻⁸ within ±1 Mb of the gene) were clumped at r² &lt; 0.001 within 10 Mb using the European 1000 Genomes Phase 3 reference (n = 503). Selected instruments and GRCh37 positions are in the Instruments worksheet. SE = 1/√[2f(1−f)(N + Z²)] and β = Z × SE, where f is the assessed-allele frequency and N is the variant-specific expression sample size.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5×10⁻⁸/5×10⁻⁶,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conditional analysis supported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Genotype-based r² and haplotype-based estimates were kept distinct.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 Dataset order is essential to interpreting H1 and H2.</w:t>
      </w:r>
    </w:p>
    <w:p>
      <w:pPr>
        <w:pStyle w:val="BodyText"/>
      </w:pPr>
      <w:r>
        <w:rPr>
          <w:color w:val="000000"/>
        </w:rPr>
        <w:t xml:space="preserve">Primary priors were p1 = p2 = 10⁻⁴ and p12 = 10⁻⁵; sensitivity p12 values were 5×10⁻⁶ and 10⁻⁶. The PP.H4 ≥ 0.80 threshold was a reporting convention, not a significance test. H0–H4 sum to one apart from rounding. Values displayed as &lt;0.001 are nonzero full-precision probabilities in the workbook. The top_snp is conditional on H4, not necessarily the disease lead variant.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The additional TSHR 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4.1×10⁻⁴;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1.2×10⁻³,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10⁻⁶ 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 P 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(z₁₋α/₂ + z₀.₈₀) × SE as the approximate 80% minimum detectable absolute log-OR. Alpha was 0.05/2,544 for BBJ and 0.05 for the original UKB/FinnGen comparisons. These are precision summaries using observed SEs, not prospective sample-size calculations, post hoc proof of power, or power of colocalization/the combined filter.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5×10⁻⁸ for every eligible combination, permitting complete selection at the fixed threshold. Absence from the tested-gene file was distinguished from a minimum eQTL P 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5×10⁻⁸,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aligned to GRCh38 and quantified as TPM. Figure S1 shows sample-level transcript abundance and log2[(mean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sectPr>
          <w:footerReference w:type="default" r:id="rId9"/>
          <w:pgSz w:w="11909" w:h="16834"/>
          <w:pgMar w:left="1440" w:right="1440" w:top="1440" w:bottom="1440"/>
        </w:sectPr>
      </w:pPr>
      <w:r>
        <w:rPr>
          <w:color w:val="000000"/>
        </w:rPr>
        <w:t xml:space="preserve">The workbook preserves exported full-precision analytical outputs, not spreadsheet reimplementations of MR. Readme and Column_dictionary identify each sheet, its scope and its columns. Reproduction of a calculation validates implementation, not instrument validity, causal assumptions or clinical generalizability.</w:t>
      </w:r>
    </w:p>
    <w:bookmarkEnd w:id="27"/>
    <w:bookmarkEnd w:id="28"/>
    <w:bookmarkStart w:id="29" w:name="X9fd95f621a514180842c2d027a02fcfd93f0ea9"/>
    <w:p>
      <w:pPr>
        <w:pStyle w:val="Heading2"/>
        <w:pageBreakBefore w:val="0"/>
      </w:pPr>
      <w:r>
        <w:rPr>
          <w:color w:val="000000"/>
        </w:rPr>
        <w:t xml:space="preserve">Table S1. Additional FinnGen GD screen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54"/>
        <w:gridCol w:w="763"/>
        <w:gridCol w:w="763"/>
        <w:gridCol w:w="1431"/>
        <w:gridCol w:w="1145"/>
        <w:gridCol w:w="858"/>
        <w:gridCol w:w="954"/>
        <w:gridCol w:w="1049"/>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w:t>
            </w:r>
            <w:r>
              <w:rPr>
                <w:rFonts w:ascii="Times New Roman" w:hAnsi="Times New Roman"/>
                <w:sz w:val="18"/>
                <w:vertAlign w:val="superscript"/>
              </w:rPr>
              <w:t xml:space="preserve">−9</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p>
      <w:pPr>
        <w:pStyle w:val="BodyText"/>
        <w:spacing w:line="264" w:lineRule="auto" w:after="120"/>
      </w:pPr>
      <w:r>
        <w:rPr>
          <w:color w:val="000000"/>
          <w:sz w:val="18"/>
        </w:rPr>
        <w:t xml:space="preserve">Genes outside the BBJ discovery set that passed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in the post hoc full FinnGen GD screen (1000 Genomes European reference frequencies). These are not independent of the screen and seven of nine are in the MHC.</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 and</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None reached PP.H4 ≥0.80 (p12 = 10</w:t>
      </w:r>
      <w:r>
        <w:rPr>
          <w:color w:val="000000"/>
          <w:sz w:val="18"/>
          <w:vertAlign w:val="superscript"/>
        </w:rPr>
        <w:t xml:space="preserve">−5</w:t>
      </w:r>
      <w:r>
        <w:rPr>
          <w:color w:val="000000"/>
          <w:sz w:val="18"/>
        </w:rPr>
        <w:t xml:space="preserve">) in any dataset. Chr, chromosome; IV, instrumental variable; MHC, major histocompatibility complex; OR, odds ratio; PP.H4, shared-variant posterior probability; BBJ, Biobank Japan; FinnGen GD, E4_GRAVES_STRICT; GD, Graves disease; GO, Graves ophthalmopathy; UKB, UK Biobank.</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92"/>
        <w:gridCol w:w="1485"/>
        <w:gridCol w:w="1287"/>
        <w:gridCol w:w="495"/>
        <w:gridCol w:w="1485"/>
        <w:gridCol w:w="1188"/>
        <w:gridCol w:w="118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 source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7.79×10</w:t>
            </w:r>
            <w:r>
              <w:rPr>
                <w:rFonts w:ascii="Times New Roman" w:hAnsi="Times New Roman"/>
                <w:sz w:val="18"/>
                <w:vertAlign w:val="superscript"/>
              </w:rPr>
              <w:t xml:space="preserve">−7</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1.36×10</w:t>
            </w:r>
            <w:r>
              <w:rPr>
                <w:rFonts w:ascii="Times New Roman" w:hAnsi="Times New Roman"/>
                <w:sz w:val="18"/>
                <w:vertAlign w:val="superscript"/>
              </w:rPr>
              <w:t xml:space="preserve">−8</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w:t>
            </w:r>
            <w:r>
              <w:rPr>
                <w:rFonts w:ascii="Times New Roman" w:hAnsi="Times New Roman"/>
                <w:sz w:val="18"/>
                <w:vertAlign w:val="superscript"/>
              </w:rPr>
              <w:t xml:space="preserve">−11</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w:t>
            </w:r>
            <w:r>
              <w:rPr>
                <w:rFonts w:ascii="Times New Roman" w:hAnsi="Times New Roman"/>
                <w:sz w:val="18"/>
                <w:vertAlign w:val="superscript"/>
              </w:rPr>
              <w:t xml:space="preserve">−24</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2.26×10</w:t>
            </w:r>
            <w:r>
              <w:rPr>
                <w:rFonts w:ascii="Times New Roman" w:hAnsi="Times New Roman"/>
                <w:sz w:val="18"/>
                <w:vertAlign w:val="superscript"/>
              </w:rPr>
              <w:t xml:space="preserve">−10</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spacing w:line="264" w:lineRule="auto" w:after="120"/>
      </w:pPr>
      <w:r>
        <w:rPr>
          <w:color w:val="000000"/>
          <w:sz w:val="18"/>
        </w:rPr>
        <w:t xml:space="preserve">Exposure effects were reconstructed with 1000 Genomes European reference allele frequencies (primary) or eQTLGen cohort frequencies; variant sets and outcome effects were held fixed, so changes reflect rescaled expression effects and IVW weights.</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its eQTLGen-frequency</w:t>
      </w:r>
      <w:r>
        <w:rPr>
          <w:color w:val="000000"/>
          <w:sz w:val="18"/>
        </w:rPr>
        <w:t xml:space="preserve"> </w:t>
      </w:r>
      <w:r>
        <w:rPr>
          <w:iCs/>
          <w:i/>
          <w:color w:val="000000"/>
          <w:sz w:val="18"/>
        </w:rPr>
        <w:t xml:space="preserve">P</w:t>
      </w:r>
      <w:r>
        <w:rPr>
          <w:color w:val="000000"/>
          <w:sz w:val="18"/>
        </w:rPr>
        <w:t xml:space="preserve"> </w:t>
      </w:r>
      <w:r>
        <w:rPr>
          <w:color w:val="000000"/>
          <w:sz w:val="18"/>
        </w:rPr>
        <w:t xml:space="preserve">crossed the screen threshold (</w:t>
      </w:r>
      <w:r>
        <w:rPr>
          <w:iCs/>
          <w:i/>
          <w:color w:val="000000"/>
          <w:sz w:val="18"/>
        </w:rPr>
        <w:t xml:space="preserve">P</w:t>
      </w:r>
      <w:r>
        <w:rPr>
          <w:color w:val="000000"/>
          <w:sz w:val="18"/>
        </w:rPr>
        <w:t xml:space="preserve"> </w:t>
      </w:r>
      <w:r>
        <w:rPr>
          <w:color w:val="000000"/>
          <w:sz w:val="18"/>
        </w:rPr>
        <w:t xml:space="preserve">&lt; 0.05/2,544). Q tests heterogeneity, not directional pleiotropy;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is not a gene-association</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All 72 omission estimates and instrument weights are in the workbook. CI, confidence interval; IV, instrumental variable; IVW, inverse-variance weighted; OR, odds ratio; BBJ, Biobank Japan; FinnGen GD, E4_GRAVES_STRICT; GD, Graves disease; GO, Graves ophthalmopathy; UKB, UK Biobank.</w:t>
      </w:r>
    </w:p>
    <w:bookmarkEnd w:id="30"/>
    <w:bookmarkStart w:id="31" w:name="X8f31c05c125ba047e76c6dc54d81706e651cd94"/>
    <w:p>
      <w:pPr>
        <w:pStyle w:val="Heading2"/>
        <w:pageBreakBefore/>
      </w:pPr>
      <w:r>
        <w:rPr>
          <w:color w:val="000000"/>
        </w:rPr>
        <w:t xml:space="preserve">Table S3.</w:t>
      </w:r>
      <w:r>
        <w:rPr>
          <w:color w:val="000000"/>
        </w:rPr>
        <w:t xml:space="preserve"> </w:t>
      </w:r>
      <w:r>
        <w:rPr>
          <w:iCs/>
          <w:i/>
          <w:color w:val="000000"/>
        </w:rPr>
        <w:t xml:space="preserve">TSHR</w:t>
      </w:r>
      <w:r>
        <w:rPr>
          <w:color w:val="000000"/>
        </w:rPr>
        <w:t xml:space="preserve"> </w:t>
      </w:r>
      <w:r>
        <w:rPr>
          <w:color w:val="000000"/>
        </w:rPr>
        <w:t xml:space="preserve">regional colocalization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056"/>
        <w:gridCol w:w="678"/>
        <w:gridCol w:w="1508"/>
        <w:gridCol w:w="754"/>
        <w:gridCol w:w="1282"/>
        <w:gridCol w:w="829"/>
        <w:gridCol w:w="905"/>
        <w:gridCol w:w="90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Matched variants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Disease lead (</w:t>
            </w:r>
            <w:r>
              <w:rPr>
                <w:iCs/>
                <w:rFonts w:ascii="Times New Roman" w:hAnsi="Times New Roman"/>
                <w:b/>
                <w:i/>
                <w:sz w:val="18"/>
              </w:rPr>
              <w:t xml:space="preserve">P</w:t>
            </w:r>
            <w:r>
              <w:rPr>
                <w:rFonts w:ascii="Times New Roman" w:hAnsi="Times New Roman"/>
                <w:b/>
                <w:sz w:val="18"/>
              </w:rPr>
              <w:t xml:space="preserv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rs179252-G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H4 top variant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10</w:t>
            </w:r>
            <w:r>
              <w:rPr>
                <w:rFonts w:ascii="Times New Roman" w:hAnsi="Times New Roman"/>
                <w:b/>
                <w:sz w:val="18"/>
                <w:vertAlign w:val="superscript"/>
              </w:rPr>
              <w:t xml:space="preserve">−5</w:t>
            </w:r>
            <w:r>
              <w:rPr>
                <w:rFonts w:ascii="Times New Roman" w:hAnsi="Times New Roman"/>
                <w:b/>
                <w:sz w:val="18"/>
              </w:rPr>
              <w:t xml:space="preserve"> </w:t>
            </w:r>
            <w:r>
              <w:rPr>
                <w:rFonts w:ascii="Times New Roman" w:hAnsi="Times New Roman"/>
                <w:b/>
                <w:sz w:val="18"/>
              </w:rPr>
              <w:t xml:space="preserve">/ 10</w:t>
            </w:r>
            <w:r>
              <w:rPr>
                <w:rFonts w:ascii="Times New Roman" w:hAnsi="Times New Roman"/>
                <w:b/>
                <w:sz w:val="18"/>
                <w:vertAlign w:val="superscript"/>
              </w:rPr>
              <w:t xml:space="preserve">−6</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rs28414437 (1.83×10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0.80 (0.76–0.85)</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0.951</w:t>
            </w:r>
            <w:r>
              <w:rPr>
                <w:rFonts w:ascii="Times New Roman" w:hAnsi="Times New Roman"/>
                <w:sz w:val="18"/>
              </w:rPr>
              <w:t xml:space="preserve"> </w:t>
            </w:r>
            <w:r>
              <w:rPr>
                <w:rFonts w:ascii="Times New Roman" w:hAnsi="Times New Roman"/>
                <w:sz w:val="18"/>
              </w:rPr>
              <w:t xml:space="preserve">/ 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rs1023586 (1.58×10</w:t>
            </w:r>
            <w:r>
              <w:rPr>
                <w:rFonts w:ascii="Times New Roman" w:hAnsi="Times New Roman"/>
                <w:sz w:val="18"/>
                <w:vertAlign w:val="superscript"/>
              </w:rPr>
              <w:t xml:space="preserve">−36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0.77 (0.73–0.80)</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0.264 / 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rs4903961 (1.17×10</w:t>
            </w:r>
            <w:r>
              <w:rPr>
                <w:rFonts w:ascii="Times New Roman" w:hAnsi="Times New Roman"/>
                <w:sz w:val="18"/>
                <w:vertAlign w:val="superscript"/>
              </w:rPr>
              <w:t xml:space="preserve">−43</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p>
        </w:tc>
        <w:tc>
          <w:tcPr/>
          <w:p>
            <w:pPr>
              <w:pStyle w:val="Compact"/>
              <w:spacing w:line="240" w:lineRule="auto" w:after="20" w:before="20"/>
              <w:jc w:val="left"/>
            </w:pPr>
            <w:r>
              <w:rPr>
                <w:rFonts w:ascii="Times New Roman" w:hAnsi="Times New Roman"/>
                <w:sz w:val="18"/>
              </w:rPr>
              <w:t xml:space="preserve">0.77 (0.74–0.81)</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0.226 / 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rs3783947 (1.23×10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0.78 (0.71–0.86)</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0.986</w:t>
            </w:r>
            <w:r>
              <w:rPr>
                <w:rFonts w:ascii="Times New Roman" w:hAnsi="Times New Roman"/>
                <w:sz w:val="18"/>
              </w:rPr>
              <w:t xml:space="preserve"> </w:t>
            </w:r>
            <w:r>
              <w:rPr>
                <w:rFonts w:ascii="Times New Roman" w:hAnsi="Times New Roman"/>
                <w:sz w:val="18"/>
              </w:rPr>
              <w:t xml:space="preserve">/</w:t>
            </w:r>
            <w:r>
              <w:rPr>
                <w:rFonts w:ascii="Times New Roman" w:hAnsi="Times New Roman"/>
                <w:sz w:val="18"/>
              </w:rPr>
              <w:t xml:space="preserve"> </w:t>
            </w:r>
            <w:r>
              <w:rPr>
                <w:bCs/>
                <w:rFonts w:ascii="Times New Roman" w:hAnsi="Times New Roman"/>
                <w:b/>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rs2110695 (1.34×10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0.82 (0.74–0.90)</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0.891</w:t>
            </w:r>
            <w:r>
              <w:rPr>
                <w:rFonts w:ascii="Times New Roman" w:hAnsi="Times New Roman"/>
                <w:sz w:val="18"/>
              </w:rPr>
              <w:t xml:space="preserve"> </w:t>
            </w:r>
            <w:r>
              <w:rPr>
                <w:rFonts w:ascii="Times New Roman" w:hAnsi="Times New Roman"/>
                <w:sz w:val="18"/>
              </w:rPr>
              <w:t xml:space="preserve">/ 0.451</w:t>
            </w:r>
          </w:p>
        </w:tc>
        <w:tc>
          <w:tcPr/>
          <w:p>
            <w:pPr>
              <w:pStyle w:val="Compact"/>
              <w:spacing w:line="240" w:lineRule="auto" w:after="20" w:before="20"/>
              <w:jc w:val="left"/>
            </w:pPr>
            <w:r>
              <w:rPr>
                <w:rFonts w:ascii="Times New Roman" w:hAnsi="Times New Roman"/>
                <w:sz w:val="18"/>
              </w:rPr>
              <w:t xml:space="preserve">0.891–0.905</w:t>
            </w:r>
          </w:p>
        </w:tc>
      </w:tr>
    </w:tbl>
    <w:p>
      <w:pPr>
        <w:pStyle w:val="BodyText"/>
        <w:spacing w:line="264" w:lineRule="auto" w:after="120"/>
      </w:pPr>
      <w:r>
        <w:rPr>
          <w:color w:val="000000"/>
          <w:sz w:val="18"/>
        </w:rPr>
        <w:t xml:space="preserve">Disease lead, the strongest disease-associated variant among the matched cis variants, with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rs179252</w:t>
      </w:r>
      <w:r>
        <w:rPr>
          <w:color w:val="000000"/>
          <w:sz w:val="18"/>
        </w:rPr>
        <w:t xml:space="preserve"> </w:t>
      </w:r>
      <w:r>
        <w:rPr>
          <w:iCs/>
          <w:i/>
          <w:color w:val="000000"/>
          <w:sz w:val="18"/>
        </w:rPr>
        <w:t xml:space="preserve">P</w:t>
      </w:r>
      <w:r>
        <w:rPr>
          <w:color w:val="000000"/>
          <w:sz w:val="18"/>
        </w:rPr>
        <w:t xml:space="preserve">,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of the aligned G-allele disease association (the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was 1.3×10</w:t>
      </w:r>
      <w:r>
        <w:rPr>
          <w:color w:val="000000"/>
          <w:sz w:val="18"/>
          <w:vertAlign w:val="superscript"/>
        </w:rPr>
        <w:t xml:space="preserve">−27</w:t>
      </w:r>
      <w:r>
        <w:rPr>
          <w:color w:val="000000"/>
          <w:sz w:val="18"/>
        </w:rPr>
        <w:t xml:space="preserve">). H4 top variant, the variant with the highest posterior under the shared-variant hypothesis; it is not necessarily the disease lead. PP.H4 under p12 = 10</w:t>
      </w:r>
      <w:r>
        <w:rPr>
          <w:color w:val="000000"/>
          <w:sz w:val="18"/>
          <w:vertAlign w:val="superscript"/>
        </w:rPr>
        <w:t xml:space="preserve">−5</w:t>
      </w:r>
      <w:r>
        <w:rPr>
          <w:color w:val="000000"/>
          <w:sz w:val="18"/>
        </w:rPr>
        <w:t xml:space="preserve"> </w:t>
      </w:r>
      <w:r>
        <w:rPr>
          <w:color w:val="000000"/>
          <w:sz w:val="18"/>
        </w:rPr>
        <w:t xml:space="preserve">and 10</w:t>
      </w:r>
      <w:r>
        <w:rPr>
          <w:color w:val="000000"/>
          <w:sz w:val="18"/>
          <w:vertAlign w:val="superscript"/>
        </w:rPr>
        <w:t xml:space="preserve">−6</w:t>
      </w:r>
      <w:r>
        <w:rPr>
          <w:color w:val="000000"/>
          <w:sz w:val="18"/>
        </w:rPr>
        <w:t xml:space="preserve"> </w:t>
      </w:r>
      <w:r>
        <w:rPr>
          <w:color w:val="000000"/>
          <w:sz w:val="18"/>
        </w:rPr>
        <w:t xml:space="preserve">(p1 = p2 = 10</w:t>
      </w:r>
      <w:r>
        <w:rPr>
          <w:color w:val="000000"/>
          <w:sz w:val="18"/>
          <w:vertAlign w:val="superscript"/>
        </w:rPr>
        <w:t xml:space="preserve">−4</w:t>
      </w:r>
      <w:r>
        <w:rPr>
          <w:color w:val="000000"/>
          <w:sz w:val="18"/>
        </w:rPr>
        <w:t xml:space="preserve">); bold, ≥0.80. Window range covers the full source cis-region, ±500 kb, ±250 kb and the five-outcome intersection at p12 = 10</w:t>
      </w:r>
      <w:r>
        <w:rPr>
          <w:color w:val="000000"/>
          <w:sz w:val="18"/>
          <w:vertAlign w:val="superscript"/>
        </w:rPr>
        <w:t xml:space="preserve">−5</w:t>
      </w:r>
      <w:r>
        <w:rPr>
          <w:color w:val="000000"/>
          <w:sz w:val="18"/>
        </w:rPr>
        <w:t xml:space="preserve">; it is not a confidence interval. All 240 window settings are in TSHR_windows. BBJ pairs European eQTL with East Asian disease statistics. CI, confidence interval; OR, odds ratio; PP.H4, shared-variant posterior probability; BBJ, Biobank Japan; FinnGen GD, E4_GRAVES_STRICT; GD, Graves disease; GO, Graves ophthalmopathy; UKB, UK Biobank.</w:t>
      </w:r>
    </w:p>
    <w:bookmarkEnd w:id="31"/>
    <w:bookmarkStart w:id="34" w:name="X2077de5088699c818a8b5aeb87e6e9cfaa4065e"/>
    <w:p>
      <w:pPr>
        <w:pStyle w:val="Heading2"/>
        <w:pageBreakBefore/>
      </w:pPr>
      <w:r>
        <w:rPr>
          <w:color w:val="000000"/>
        </w:rPr>
        <w:t xml:space="preserve">Table S4.</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tissue expression extension</w:t>
      </w:r>
    </w:p>
    <w:bookmarkStart w:id="32" w:name="a.-availability"/>
    <w:p>
      <w:pPr>
        <w:pStyle w:val="Heading3"/>
      </w:pPr>
      <w:r>
        <w:rPr>
          <w:color w:val="000000"/>
        </w:rPr>
        <w:t xml:space="preserve">A. Availability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129"/>
        <w:gridCol w:w="681"/>
        <w:gridCol w:w="1703"/>
        <w:gridCol w:w="3406"/>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GTEx 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Instrument (F)</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Status</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9.60×10</w:t>
            </w:r>
            <w:r>
              <w:rPr>
                <w:rFonts w:ascii="Times New Roman" w:hAnsi="Times New Roman"/>
                <w:sz w:val="18"/>
                <w:vertAlign w:val="superscript"/>
              </w:rPr>
              <w:t xml:space="preserve">−8</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rs1815009 (F = 61.1)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Not tested by GTEx in this tissue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rs6598538 (F = 33.8)</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rs12101255 (F = 38.5)</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3.56×10</w:t>
            </w:r>
            <w:r>
              <w:rPr>
                <w:rFonts w:ascii="Times New Roman" w:hAnsi="Times New Roman"/>
                <w:sz w:val="18"/>
                <w:vertAlign w:val="superscript"/>
              </w:rPr>
              <w:t xml:space="preserve">−7</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rs74064796 (F = 32.1)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7.76×10</w:t>
            </w:r>
            <w:r>
              <w:rPr>
                <w:rFonts w:ascii="Times New Roman" w:hAnsi="Times New Roman"/>
                <w:sz w:val="18"/>
                <w:vertAlign w:val="superscript"/>
              </w:rPr>
              <w:t xml:space="preserve">−6</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2.46×10</w:t>
            </w:r>
            <w:r>
              <w:rPr>
                <w:rFonts w:ascii="Times New Roman" w:hAnsi="Times New Roman"/>
                <w:sz w:val="18"/>
                <w:vertAlign w:val="superscript"/>
              </w:rPr>
              <w:t xml:space="preserve">−4</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5.42×10</w:t>
            </w:r>
            <w:r>
              <w:rPr>
                <w:rFonts w:ascii="Times New Roman" w:hAnsi="Times New Roman"/>
                <w:sz w:val="18"/>
                <w:vertAlign w:val="superscript"/>
              </w:rPr>
              <w:t xml:space="preserve">−5</w:t>
            </w:r>
            <w:r>
              <w:rPr>
                <w:rFonts w:ascii="Times New Roman" w:hAnsi="Times New Roman"/>
                <w:sz w:val="18"/>
              </w:rPr>
              <w:t xml:space="preserve">)</w:t>
            </w:r>
          </w:p>
        </w:tc>
      </w:tr>
    </w:tbl>
    <w:bookmarkEnd w:id="32"/>
    <w:bookmarkStart w:id="33" w:name="b.-estimates"/>
    <w:p>
      <w:pPr>
        <w:pStyle w:val="Heading3"/>
        <w:pageBreakBefore/>
      </w:pPr>
      <w:r>
        <w:rPr>
          <w:color w:val="000000"/>
        </w:rPr>
        <w:t xml:space="preserve">B. Estimates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062"/>
        <w:gridCol w:w="1320"/>
        <w:gridCol w:w="742"/>
        <w:gridCol w:w="1237"/>
        <w:gridCol w:w="907"/>
        <w:gridCol w:w="825"/>
        <w:gridCol w:w="82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Family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Below family threshold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Direction vs blood</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0.46 (0.38–0.55)</w:t>
            </w:r>
          </w:p>
        </w:tc>
        <w:tc>
          <w:tcPr/>
          <w:p>
            <w:pPr>
              <w:pStyle w:val="Compact"/>
              <w:spacing w:line="240" w:lineRule="auto" w:after="20" w:before="20"/>
              <w:jc w:val="left"/>
            </w:pPr>
            <w:r>
              <w:rPr>
                <w:rFonts w:ascii="Times New Roman" w:hAnsi="Times New Roman"/>
                <w:sz w:val="18"/>
              </w:rPr>
              <w:t xml:space="preserve">1.92×10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w:t>
            </w:r>
            <w:r>
              <w:rPr>
                <w:rFonts w:ascii="Times New Roman" w:hAnsi="Times New Roman"/>
                <w:sz w:val="18"/>
                <w:vertAlign w:val="superscript"/>
              </w:rPr>
              <w:t xml:space="preserve">−34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0.31 (0.27–0.37)</w:t>
            </w:r>
          </w:p>
        </w:tc>
        <w:tc>
          <w:tcPr/>
          <w:p>
            <w:pPr>
              <w:pStyle w:val="Compact"/>
              <w:spacing w:line="240" w:lineRule="auto" w:after="20" w:before="20"/>
              <w:jc w:val="left"/>
            </w:pPr>
            <w:r>
              <w:rPr>
                <w:rFonts w:ascii="Times New Roman" w:hAnsi="Times New Roman"/>
                <w:sz w:val="18"/>
              </w:rPr>
              <w:t xml:space="preserve">2.86×10</w:t>
            </w:r>
            <w:r>
              <w:rPr>
                <w:rFonts w:ascii="Times New Roman" w:hAnsi="Times New Roman"/>
                <w:sz w:val="18"/>
                <w:vertAlign w:val="superscript"/>
              </w:rPr>
              <w:t xml:space="preserve">−42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0.45 (0.32–0.63)</w:t>
            </w:r>
          </w:p>
        </w:tc>
        <w:tc>
          <w:tcPr/>
          <w:p>
            <w:pPr>
              <w:pStyle w:val="Compact"/>
              <w:spacing w:line="240" w:lineRule="auto" w:after="20" w:before="20"/>
              <w:jc w:val="left"/>
            </w:pPr>
            <w:r>
              <w:rPr>
                <w:rFonts w:ascii="Times New Roman" w:hAnsi="Times New Roman"/>
                <w:sz w:val="18"/>
              </w:rPr>
              <w:t xml:space="preserve">5.76×10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0.51 (0.35–0.74)</w:t>
            </w:r>
          </w:p>
        </w:tc>
        <w:tc>
          <w:tcPr/>
          <w:p>
            <w:pPr>
              <w:pStyle w:val="Compact"/>
              <w:spacing w:line="240" w:lineRule="auto" w:after="20" w:before="20"/>
              <w:jc w:val="left"/>
            </w:pPr>
            <w:r>
              <w:rPr>
                <w:rFonts w:ascii="Times New Roman" w:hAnsi="Times New Roman"/>
                <w:sz w:val="18"/>
              </w:rPr>
              <w:t xml:space="preserve">3.67×10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0.56 (0.46–0.67)</w:t>
            </w:r>
          </w:p>
        </w:tc>
        <w:tc>
          <w:tcPr/>
          <w:p>
            <w:pPr>
              <w:pStyle w:val="Compact"/>
              <w:spacing w:line="240" w:lineRule="auto" w:after="20" w:before="20"/>
              <w:jc w:val="left"/>
            </w:pPr>
            <w:r>
              <w:rPr>
                <w:rFonts w:ascii="Times New Roman" w:hAnsi="Times New Roman"/>
                <w:sz w:val="18"/>
              </w:rPr>
              <w:t xml:space="preserve">2.64×10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w:t>
            </w:r>
            <w:r>
              <w:rPr>
                <w:rFonts w:ascii="Times New Roman" w:hAnsi="Times New Roman"/>
                <w:sz w:val="18"/>
                <w:vertAlign w:val="superscript"/>
              </w:rPr>
              <w:t xml:space="preserve">−19</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0.39 (0.34–0.45)</w:t>
            </w:r>
          </w:p>
        </w:tc>
        <w:tc>
          <w:tcPr/>
          <w:p>
            <w:pPr>
              <w:pStyle w:val="Compact"/>
              <w:spacing w:line="240" w:lineRule="auto" w:after="20" w:before="20"/>
              <w:jc w:val="left"/>
            </w:pPr>
            <w:r>
              <w:rPr>
                <w:rFonts w:ascii="Times New Roman" w:hAnsi="Times New Roman"/>
                <w:sz w:val="18"/>
              </w:rPr>
              <w:t xml:space="preserve">9.19×10</w:t>
            </w:r>
            <w:r>
              <w:rPr>
                <w:rFonts w:ascii="Times New Roman" w:hAnsi="Times New Roman"/>
                <w:sz w:val="18"/>
                <w:vertAlign w:val="superscript"/>
              </w:rPr>
              <w:t xml:space="preserve">−38</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0.69 (0.49–0.98)</w:t>
            </w:r>
          </w:p>
        </w:tc>
        <w:tc>
          <w:tcPr/>
          <w:p>
            <w:pPr>
              <w:pStyle w:val="Compact"/>
              <w:spacing w:line="240" w:lineRule="auto" w:after="20" w:before="20"/>
              <w:jc w:val="left"/>
            </w:pPr>
            <w:r>
              <w:rPr>
                <w:rFonts w:ascii="Times New Roman" w:hAnsi="Times New Roman"/>
                <w:sz w:val="18"/>
              </w:rPr>
              <w:t xml:space="preserve">0.0368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(0.54–1.13)</w:t>
            </w:r>
          </w:p>
        </w:tc>
        <w:tc>
          <w:tcPr/>
          <w:p>
            <w:pPr>
              <w:pStyle w:val="Compact"/>
              <w:spacing w:line="240" w:lineRule="auto" w:after="20" w:before="20"/>
              <w:jc w:val="left"/>
            </w:pPr>
            <w:r>
              <w:rPr>
                <w:rFonts w:ascii="Times New Roman" w:hAnsi="Times New Roman"/>
                <w:sz w:val="18"/>
              </w:rPr>
              <w:t xml:space="preserve">0.186</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(0.90–1.68)</w:t>
            </w:r>
          </w:p>
        </w:tc>
        <w:tc>
          <w:tcPr/>
          <w:p>
            <w:pPr>
              <w:pStyle w:val="Compact"/>
              <w:spacing w:line="240" w:lineRule="auto" w:after="20" w:before="20"/>
              <w:jc w:val="left"/>
            </w:pPr>
            <w:r>
              <w:rPr>
                <w:rFonts w:ascii="Times New Roman" w:hAnsi="Times New Roman"/>
                <w:sz w:val="18"/>
              </w:rPr>
              <w:t xml:space="preserve">0.200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1.33 (0.99–1.80)</w:t>
            </w:r>
          </w:p>
        </w:tc>
        <w:tc>
          <w:tcPr/>
          <w:p>
            <w:pPr>
              <w:pStyle w:val="Compact"/>
              <w:spacing w:line="240" w:lineRule="auto" w:after="20" w:before="20"/>
              <w:jc w:val="left"/>
            </w:pPr>
            <w:r>
              <w:rPr>
                <w:rFonts w:ascii="Times New Roman" w:hAnsi="Times New Roman"/>
                <w:sz w:val="18"/>
              </w:rPr>
              <w:t xml:space="preserve">0.0594</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1.02 (0.54–1.94)</w:t>
            </w:r>
          </w:p>
        </w:tc>
        <w:tc>
          <w:tcPr/>
          <w:p>
            <w:pPr>
              <w:pStyle w:val="Compact"/>
              <w:spacing w:line="240" w:lineRule="auto" w:after="20" w:before="20"/>
              <w:jc w:val="left"/>
            </w:pPr>
            <w:r>
              <w:rPr>
                <w:rFonts w:ascii="Times New Roman" w:hAnsi="Times New Roman"/>
                <w:sz w:val="18"/>
              </w:rPr>
              <w:t xml:space="preserve">0.945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(0.62–2.44)</w:t>
            </w:r>
          </w:p>
        </w:tc>
        <w:tc>
          <w:tcPr/>
          <w:p>
            <w:pPr>
              <w:pStyle w:val="Compact"/>
              <w:spacing w:line="240" w:lineRule="auto" w:after="20" w:before="20"/>
              <w:jc w:val="left"/>
            </w:pPr>
            <w:r>
              <w:rPr>
                <w:rFonts w:ascii="Times New Roman" w:hAnsi="Times New Roman"/>
                <w:sz w:val="18"/>
              </w:rPr>
              <w:t xml:space="preserve">0.549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0.91 (0.70–1.20)</w:t>
            </w:r>
          </w:p>
        </w:tc>
        <w:tc>
          <w:tcPr/>
          <w:p>
            <w:pPr>
              <w:pStyle w:val="Compact"/>
              <w:spacing w:line="240" w:lineRule="auto" w:after="20" w:before="20"/>
              <w:jc w:val="left"/>
            </w:pPr>
            <w:r>
              <w:rPr>
                <w:rFonts w:ascii="Times New Roman" w:hAnsi="Times New Roman"/>
                <w:sz w:val="18"/>
              </w:rPr>
              <w:t xml:space="preserve">0.511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1.03 (0.82–1.29)</w:t>
            </w:r>
          </w:p>
        </w:tc>
        <w:tc>
          <w:tcPr/>
          <w:p>
            <w:pPr>
              <w:pStyle w:val="Compact"/>
              <w:spacing w:line="240" w:lineRule="auto" w:after="20" w:before="20"/>
              <w:jc w:val="left"/>
            </w:pPr>
            <w:r>
              <w:rPr>
                <w:rFonts w:ascii="Times New Roman" w:hAnsi="Times New Roman"/>
                <w:sz w:val="18"/>
              </w:rPr>
              <w:t xml:space="preserve">0.815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(0.49–1.25)</w:t>
            </w:r>
          </w:p>
        </w:tc>
        <w:tc>
          <w:tcPr/>
          <w:p>
            <w:pPr>
              <w:pStyle w:val="Compact"/>
              <w:spacing w:line="240" w:lineRule="auto" w:after="20" w:before="20"/>
              <w:jc w:val="left"/>
            </w:pPr>
            <w:r>
              <w:rPr>
                <w:rFonts w:ascii="Times New Roman" w:hAnsi="Times New Roman"/>
                <w:sz w:val="18"/>
              </w:rPr>
              <w:t xml:space="preserve">0.301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(0.47–1.30)</w:t>
            </w:r>
          </w:p>
        </w:tc>
        <w:tc>
          <w:tcPr/>
          <w:p>
            <w:pPr>
              <w:pStyle w:val="Compact"/>
              <w:spacing w:line="240" w:lineRule="auto" w:after="20" w:before="20"/>
              <w:jc w:val="left"/>
            </w:pPr>
            <w:r>
              <w:rPr>
                <w:rFonts w:ascii="Times New Roman" w:hAnsi="Times New Roman"/>
                <w:sz w:val="18"/>
              </w:rPr>
              <w:t xml:space="preserve">0.341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bl>
    <w:p>
      <w:pPr>
        <w:pStyle w:val="BodyText"/>
        <w:spacing w:line="264" w:lineRule="auto" w:after="120"/>
        <w:sectPr>
          <w:footerReference w:type="default" r:id="rId9"/>
          <w:pgSz w:w="16834" w:h="11909" w:orient="landscape"/>
          <w:pgMar w:left="1008" w:right="1008" w:top="1008" w:bottom="1008"/>
        </w:sectPr>
      </w:pPr>
      <w:r>
        <w:rPr>
          <w:color w:val="000000"/>
          <w:sz w:val="18"/>
        </w:rPr>
        <w:t xml:space="preserve">Post hoc fixed-panel extension using GTEx v8; tissue colocalization was not performed. A, availability of the ten gene–tissue combinations; F statistics are for the single retained instrument.</w:t>
      </w:r>
      <w:r>
        <w:rPr>
          <w:color w:val="000000"/>
          <w:sz w:val="18"/>
        </w:rPr>
        <w:t xml:space="preserve"> </w:t>
      </w:r>
      <w:r>
        <w:rPr>
          <w:color w:val="000000"/>
          <w:sz w:val="18"/>
        </w:rPr>
        <w:t xml:space="preserve">‘</w:t>
      </w:r>
      <w:r>
        <w:rPr>
          <w:color w:val="000000"/>
          <w:sz w:val="18"/>
        </w:rPr>
        <w:t xml:space="preserve">Not tested</w:t>
      </w:r>
      <w:r>
        <w:rPr>
          <w:color w:val="000000"/>
          <w:sz w:val="18"/>
        </w:rPr>
        <w:t xml:space="preserve">’</w:t>
      </w:r>
      <w:r>
        <w:rPr>
          <w:color w:val="000000"/>
          <w:sz w:val="18"/>
        </w:rPr>
        <w:t xml:space="preserve"> </w:t>
      </w:r>
      <w:r>
        <w:rPr>
          <w:color w:val="000000"/>
          <w:sz w:val="18"/>
        </w:rPr>
        <w:t xml:space="preserve">means the gene is not among the genes GTEx tested in that tissue. GTEx whole blood (n = 670) yielded no instrument at the fixed threshold, whereas the main analysis used eQTLGen (up to 31,684 participants). B, all 20 estimates. The primary family is the ten FinnGen GD comparisons (</w:t>
      </w:r>
      <w:r>
        <w:rPr>
          <w:iCs/>
          <w:i/>
          <w:color w:val="000000"/>
          <w:sz w:val="18"/>
        </w:rPr>
        <w:t xml:space="preserve">P</w:t>
      </w:r>
      <w:r>
        <w:rPr>
          <w:color w:val="000000"/>
          <w:sz w:val="18"/>
        </w:rPr>
        <w:t xml:space="preserve"> </w:t>
      </w:r>
      <w:r>
        <w:rPr>
          <w:color w:val="000000"/>
          <w:sz w:val="18"/>
        </w:rPr>
        <w:t xml:space="preserve">&lt; 0.005); the secondary family is the 40 comparisons with the other datasets (</w:t>
      </w:r>
      <w:r>
        <w:rPr>
          <w:iCs/>
          <w:i/>
          <w:color w:val="000000"/>
          <w:sz w:val="18"/>
        </w:rPr>
        <w:t xml:space="preserve">P</w:t>
      </w:r>
      <w:r>
        <w:rPr>
          <w:color w:val="000000"/>
          <w:sz w:val="18"/>
        </w:rPr>
        <w:t xml:space="preserve"> </w:t>
      </w:r>
      <w:r>
        <w:rPr>
          <w:color w:val="000000"/>
          <w:sz w:val="18"/>
        </w:rPr>
        <w:t xml:space="preserve">&lt; 0.00125); unestimable combinations stay in both denominators. ORs are per unit of inverse-normal-transformed tissue expression and are not comparable in size with the blood ORs. With one instrument, each</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that variant’s disease-association</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The adipose</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instruments (rs12101255, rs74064796; 50 bp apart in</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intron 1) are themselves blood</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eQTLs near rs179252 and re-express the regional association rather than providing independent evidence. Cultured fibroblasts and adipose tissue are not orbital tissue. Direction, compared with the blood estimate in the same dataset. CI, confidence interval; GTEx, Genotype-Tissue Expression; OR, odds ratio; BBJ, Biobank Japan; FinnGen GD, E4_GRAVES_STRICT; GD, Graves disease; GO, Graves ophthalmopathy; UKB, UK Biobank.</w:t>
      </w:r>
    </w:p>
    <w:bookmarkEnd w:id="33"/>
    <w:bookmarkEnd w:id="34"/>
    <w:bookmarkStart w:id="38" w:name="figure-s1"/>
    <w:p>
      <w:pPr>
        <w:pStyle w:val="Heading2"/>
        <w:pageBreakBefore w:val="0"/>
      </w:pPr>
      <w:r>
        <w:rPr>
          <w:color w:val="000000"/>
        </w:rPr>
        <w:t xml:space="preserve">Figure S1</w:t>
      </w:r>
    </w:p>
    <w:p>
      <w:pPr>
        <w:pStyle w:val="FirstParagraph"/>
      </w:pPr>
      <w:r>
        <w:rPr>
          <w:color w:val="000000"/>
        </w:rPr>
        <w:drawing>
          <wp:inline>
            <wp:extent cx="5334000" cy="2476500"/>
            <wp:effectExtent b="0" l="0" r="0" t="0"/>
            <wp:docPr descr="" title="" id="36" name="Picture"/>
            <a:graphic>
              <a:graphicData uri="http://schemas.openxmlformats.org/drawingml/2006/picture">
                <pic:pic>
                  <pic:nvPicPr>
                    <pic:cNvPr descr="Figures/FigureS1.png" id="37" name="Picture"/>
                    <pic:cNvPicPr>
                      <a:picLocks noChangeArrowheads="1" noChangeAspect="1"/>
                    </pic:cNvPicPr>
                  </pic:nvPicPr>
                  <pic:blipFill>
                    <a:blip r:embed="rId35"/>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S1. Descriptive orbital expression of</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w:t>
      </w:r>
      <w:r>
        <w:rPr>
          <w:color w:val="000000"/>
        </w:rPr>
        <w:t xml:space="preserve"> </w:t>
      </w:r>
      <w:r>
        <w:rPr>
          <w:color w:val="000000"/>
        </w:rPr>
        <w:t xml:space="preserve">Transcript abundance in orbital adipose tissue collected during orbital decompression from four patients with inactive TED, and in nasal fat pad from one person without thyroid disease undergoing cosmetic upper blepharoplasty. Points are biological samples (technical replicates combined); horizontal lines show TED means. Fold change is log</w:t>
      </w:r>
      <w:r>
        <w:rPr>
          <w:color w:val="000000"/>
          <w:vertAlign w:val="subscript"/>
        </w:rPr>
        <w:t xml:space="preserve">2</w:t>
      </w:r>
      <w:r>
        <w:rPr>
          <w:color w:val="000000"/>
        </w:rPr>
        <w:t xml:space="preserve">[(mean TED TPM + 0.01)/(control TPM + 0.01)]. Vertical axes differ by gene. The control came from a different fat depot, and one control cannot estimate control-group variance; no inferential test was performed, and these observations do not validate the genetic findings. TED, thyroid eye disease; TPM, transcripts per million.</w:t>
      </w:r>
    </w:p>
    <w:bookmarkEnd w:id="38"/>
    <w:bookmarkStart w:id="42" w:name="figure-s2"/>
    <w:p>
      <w:pPr>
        <w:pStyle w:val="Heading2"/>
        <w:pageBreakBefore/>
      </w:pPr>
      <w:r>
        <w:rPr>
          <w:color w:val="000000"/>
        </w:rPr>
        <w:t xml:space="preserve">Figure S2</w:t>
      </w:r>
    </w:p>
    <w:p>
      <w:pPr>
        <w:pStyle w:val="FirstParagraph"/>
      </w:pPr>
      <w:r>
        <w:rPr>
          <w:color w:val="000000"/>
        </w:rPr>
        <w:drawing>
          <wp:inline>
            <wp:extent cx="5334000" cy="5762277"/>
            <wp:effectExtent b="0" l="0" r="0" t="0"/>
            <wp:docPr descr="" title="" id="40" name="Picture"/>
            <a:graphic>
              <a:graphicData uri="http://schemas.openxmlformats.org/drawingml/2006/picture">
                <pic:pic>
                  <pic:nvPicPr>
                    <pic:cNvPr descr="Figures/FigureS2.png" id="41" name="Picture"/>
                    <pic:cNvPicPr>
                      <a:picLocks noChangeArrowheads="1" noChangeAspect="1"/>
                    </pic:cNvPicPr>
                  </pic:nvPicPr>
                  <pic:blipFill>
                    <a:blip r:embed="rId39"/>
                    <a:stretch>
                      <a:fillRect/>
                    </a:stretch>
                  </pic:blipFill>
                  <pic:spPr bwMode="auto">
                    <a:xfrm>
                      <a:off x="0" y="0"/>
                      <a:ext cx="5334000" cy="5762277"/>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S2. Dependence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on individual instruments.</w:t>
      </w:r>
      <w:r>
        <w:rPr>
          <w:color w:val="000000"/>
        </w:rPr>
        <w:t xml:space="preserve"> </w:t>
      </w:r>
      <w:r>
        <w:rPr>
          <w:color w:val="000000"/>
        </w:rPr>
        <w:t xml:space="preserve">For each dataset, the open diamond is the estimate using all instruments (as in Table 2), and the filled points below it omit the named instrument (IVW when at least two instruments remain, Wald ratio when one remains). Lines are 95% CIs on a logarithmic axis; the dashed line is OR = 1.</w:t>
      </w:r>
      <w:r>
        <w:rPr>
          <w:color w:val="000000"/>
        </w:rPr>
        <w:t xml:space="preserve"> </w:t>
      </w:r>
      <w:r>
        <w:rPr>
          <w:iCs/>
          <w:i/>
          <w:color w:val="000000"/>
        </w:rPr>
        <w:t xml:space="preserve">P</w:t>
      </w:r>
      <w:r>
        <w:rPr>
          <w:color w:val="000000"/>
        </w:rPr>
        <w:t xml:space="preserve"> </w:t>
      </w:r>
      <w:r>
        <w:rPr>
          <w:color w:val="000000"/>
        </w:rPr>
        <w:t xml:space="preserve">values are shown at right; bold, nominal</w:t>
      </w:r>
      <w:r>
        <w:rPr>
          <w:color w:val="000000"/>
        </w:rPr>
        <w:t xml:space="preserve"> </w:t>
      </w:r>
      <w:r>
        <w:rPr>
          <w:iCs/>
          <w:i/>
          <w:color w:val="000000"/>
        </w:rPr>
        <w:t xml:space="preserve">P</w:t>
      </w:r>
      <w:r>
        <w:rPr>
          <w:color w:val="000000"/>
        </w:rPr>
        <w:t xml:space="preserve"> </w:t>
      </w:r>
      <w:r>
        <w:rPr>
          <w:color w:val="000000"/>
        </w:rPr>
        <w:t xml:space="preserve">&lt; 0.05. (A)</w:t>
      </w:r>
      <w:r>
        <w:rPr>
          <w:color w:val="000000"/>
        </w:rPr>
        <w:t xml:space="preserve"> </w:t>
      </w:r>
      <w:r>
        <w:rPr>
          <w:iCs/>
          <w:i/>
          <w:color w:val="000000"/>
        </w:rPr>
        <w:t xml:space="preserve">IGF1R</w:t>
      </w:r>
      <w:r>
        <w:rPr>
          <w:color w:val="000000"/>
        </w:rPr>
        <w:t xml:space="preserve"> </w:t>
      </w:r>
      <w:r>
        <w:rPr>
          <w:color w:val="000000"/>
        </w:rPr>
        <w:t xml:space="preserve">in all five datasets. (B)</w:t>
      </w:r>
      <w:r>
        <w:rPr>
          <w:color w:val="000000"/>
        </w:rPr>
        <w:t xml:space="preserve"> </w:t>
      </w:r>
      <w:r>
        <w:rPr>
          <w:iCs/>
          <w:i/>
          <w:color w:val="000000"/>
        </w:rPr>
        <w:t xml:space="preserve">CTLA4</w:t>
      </w:r>
      <w:r>
        <w:rPr>
          <w:color w:val="000000"/>
        </w:rPr>
        <w:t xml:space="preserve"> </w:t>
      </w:r>
      <w:r>
        <w:rPr>
          <w:color w:val="000000"/>
        </w:rPr>
        <w:t xml:space="preserve">in the four European datasets; BBJ</w:t>
      </w:r>
      <w:r>
        <w:rPr>
          <w:color w:val="000000"/>
        </w:rPr>
        <w:t xml:space="preserve"> </w:t>
      </w:r>
      <w:r>
        <w:rPr>
          <w:iCs/>
          <w:i/>
          <w:color w:val="000000"/>
        </w:rPr>
        <w:t xml:space="preserve">CTLA4</w:t>
      </w:r>
      <w:r>
        <w:rPr>
          <w:color w:val="000000"/>
        </w:rPr>
        <w:t xml:space="preserve"> </w:t>
      </w:r>
      <w:r>
        <w:rPr>
          <w:color w:val="000000"/>
        </w:rPr>
        <w:t xml:space="preserve">and all</w:t>
      </w:r>
      <w:r>
        <w:rPr>
          <w:color w:val="000000"/>
        </w:rPr>
        <w:t xml:space="preserve"> </w:t>
      </w:r>
      <w:r>
        <w:rPr>
          <w:iCs/>
          <w:i/>
          <w:color w:val="000000"/>
        </w:rPr>
        <w:t xml:space="preserve">TSHR</w:t>
      </w:r>
      <w:r>
        <w:rPr>
          <w:color w:val="000000"/>
        </w:rPr>
        <w:t xml:space="preserve"> </w:t>
      </w:r>
      <w:r>
        <w:rPr>
          <w:color w:val="000000"/>
        </w:rPr>
        <w:t xml:space="preserve">estimates use one instrument and could not be assessed. The 25 post hoc omission estimates reuse the same association data and are not independent replications; loss of nominal significance can reflect reduced precision as well as the omitted variant’s contribution. CI, confidence interval; IV, instrumental variable; IVW, inverse-variance weighted; OR, odds ratio; SD, standard deviation; BBJ, Biobank Japan; FinnGen GD, E4_GRAVES_STRICT; GD, Graves disease; GO, Graves ophthalmopathy; UKB, UK Biobank.</w:t>
      </w:r>
    </w:p>
    <w:bookmarkEnd w:id="42"/>
    <w:bookmarkEnd w:id="43"/>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2026-10-14T15:53:24Z</dcterms:created>
  <dcterms:modified xsi:type="dcterms:W3CDTF">2026-10-14T15:53:24Z</dcterms:modified>
  <cp:lastModifiedBy/>
  <dc:description/>
</cp:coreProperties>
</file>

<file path=docProps/custom.xml><?xml version="1.0" encoding="utf-8"?>
<Properties xmlns="http://schemas.openxmlformats.org/officeDocument/2006/custom-properties" xmlns:vt="http://schemas.openxmlformats.org/officeDocument/2006/docPropsVTypes"/>
</file>