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ble-1.-data-sources-and-their-roles"/>
    <w:p>
      <w:pPr>
        <w:pStyle w:val="Heading2"/>
      </w:pPr>
      <w:r>
        <w:rPr>
          <w:color w:val="000000"/>
        </w:rPr>
        <w:t xml:space="preserve">Table 1. Data sources and their roles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384"/>
        <w:gridCol w:w="681"/>
        <w:gridCol w:w="766"/>
        <w:gridCol w:w="4087"/>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 / endpoint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Cases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Controls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Role</w:t>
            </w:r>
          </w:p>
        </w:tc>
      </w:tr>
      <w:tr>
        <w:trPr>
          <w:cantSplit/>
        </w:trPr>
        <w:tc>
          <w:tcPr/>
          <w:p>
            <w:pPr>
              <w:pStyle w:val="Compact"/>
              <w:spacing w:line="240" w:lineRule="auto" w:after="20" w:before="20"/>
              <w:jc w:val="left"/>
            </w:pPr>
            <w:r>
              <w:rPr>
                <w:rFonts w:ascii="Times New Roman" w:hAnsi="Times New Roman"/>
                <w:sz w:val="18"/>
              </w:rPr>
              <w:t xml:space="preserve">eQTLGen blood cis-eQTL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Exposure; up to 31,684 participants (median 28,092 per variant); predominantly European</w:t>
            </w:r>
          </w:p>
        </w:tc>
      </w:tr>
      <w:tr>
        <w:trPr>
          <w:cantSplit/>
        </w:trPr>
        <w:tc>
          <w:tcPr/>
          <w:p>
            <w:pPr>
              <w:pStyle w:val="Compact"/>
              <w:spacing w:line="240" w:lineRule="auto" w:after="20" w:before="20"/>
              <w:jc w:val="left"/>
            </w:pPr>
            <w:r>
              <w:rPr>
                <w:rFonts w:ascii="Times New Roman" w:hAnsi="Times New Roman"/>
                <w:sz w:val="18"/>
              </w:rPr>
              <w:t xml:space="preserve">BBJ GD (GCST90018627)</w:t>
            </w:r>
          </w:p>
        </w:tc>
        <w:tc>
          <w:tcPr/>
          <w:p>
            <w:pPr>
              <w:pStyle w:val="Compact"/>
              <w:spacing w:line="240" w:lineRule="auto" w:after="20" w:before="20"/>
              <w:jc w:val="left"/>
            </w:pPr>
            <w:r>
              <w:rPr>
                <w:rFonts w:ascii="Times New Roman" w:hAnsi="Times New Roman"/>
                <w:sz w:val="18"/>
              </w:rPr>
              <w:t xml:space="preserve">2,809</w:t>
            </w:r>
          </w:p>
        </w:tc>
        <w:tc>
          <w:tcPr/>
          <w:p>
            <w:pPr>
              <w:pStyle w:val="Compact"/>
              <w:spacing w:line="240" w:lineRule="auto" w:after="20" w:before="20"/>
              <w:jc w:val="left"/>
            </w:pPr>
            <w:r>
              <w:rPr>
                <w:rFonts w:ascii="Times New Roman" w:hAnsi="Times New Roman"/>
                <w:sz w:val="18"/>
              </w:rPr>
              <w:t xml:space="preserve">172,656</w:t>
            </w:r>
          </w:p>
        </w:tc>
        <w:tc>
          <w:tcPr/>
          <w:p>
            <w:pPr>
              <w:pStyle w:val="Compact"/>
              <w:spacing w:line="240" w:lineRule="auto" w:after="20" w:before="20"/>
              <w:jc w:val="left"/>
            </w:pPr>
            <w:r>
              <w:rPr>
                <w:rFonts w:ascii="Times New Roman" w:hAnsi="Times New Roman"/>
                <w:sz w:val="18"/>
              </w:rPr>
              <w:t xml:space="preserve">Discovery; East Asian</w:t>
            </w:r>
          </w:p>
        </w:tc>
      </w:tr>
      <w:tr>
        <w:trPr>
          <w:cantSplit/>
        </w:trPr>
        <w:tc>
          <w:tcPr/>
          <w:p>
            <w:pPr>
              <w:pStyle w:val="Compact"/>
              <w:spacing w:line="240" w:lineRule="auto" w:after="20" w:before="20"/>
              <w:jc w:val="left"/>
            </w:pPr>
            <w:r>
              <w:rPr>
                <w:rFonts w:ascii="Times New Roman" w:hAnsi="Times New Roman"/>
                <w:sz w:val="18"/>
              </w:rPr>
              <w:t xml:space="preserve">FinnGen GD (E4_GRAVES_STRICT)</w:t>
            </w:r>
          </w:p>
        </w:tc>
        <w:tc>
          <w:tcPr/>
          <w:p>
            <w:pPr>
              <w:pStyle w:val="Compact"/>
              <w:spacing w:line="240" w:lineRule="auto" w:after="20" w:before="20"/>
              <w:jc w:val="left"/>
            </w:pPr>
            <w:r>
              <w:rPr>
                <w:rFonts w:ascii="Times New Roman" w:hAnsi="Times New Roman"/>
                <w:sz w:val="18"/>
              </w:rPr>
              <w:t xml:space="preserve">3,962</w:t>
            </w:r>
          </w:p>
        </w:tc>
        <w:tc>
          <w:tcPr/>
          <w:p>
            <w:pPr>
              <w:pStyle w:val="Compact"/>
              <w:spacing w:line="240" w:lineRule="auto" w:after="20" w:before="20"/>
              <w:jc w:val="left"/>
            </w:pPr>
            <w:r>
              <w:rPr>
                <w:rFonts w:ascii="Times New Roman" w:hAnsi="Times New Roman"/>
                <w:sz w:val="18"/>
              </w:rPr>
              <w:t xml:space="preserve">496,386</w:t>
            </w:r>
          </w:p>
        </w:tc>
        <w:tc>
          <w:tcPr/>
          <w:p>
            <w:pPr>
              <w:pStyle w:val="Compact"/>
              <w:spacing w:line="240" w:lineRule="auto" w:after="20" w:before="20"/>
              <w:jc w:val="left"/>
            </w:pPr>
            <w:r>
              <w:rPr>
                <w:rFonts w:ascii="Times New Roman" w:hAnsi="Times New Roman"/>
                <w:sz w:val="18"/>
              </w:rPr>
              <w:t xml:space="preserve">Post hoc same-disease comparison; Finnish</w:t>
            </w:r>
          </w:p>
        </w:tc>
      </w:tr>
      <w:tr>
        <w:trPr>
          <w:cantSplit/>
        </w:trPr>
        <w:tc>
          <w:tcPr/>
          <w:p>
            <w:pPr>
              <w:pStyle w:val="Compact"/>
              <w:spacing w:line="240" w:lineRule="auto" w:after="20" w:before="20"/>
              <w:jc w:val="left"/>
            </w:pPr>
            <w:r>
              <w:rPr>
                <w:rFonts w:ascii="Times New Roman" w:hAnsi="Times New Roman"/>
                <w:sz w:val="18"/>
              </w:rPr>
              <w:t xml:space="preserve">UKB hyperthyroidism (GCST90038636)</w:t>
            </w:r>
          </w:p>
        </w:tc>
        <w:tc>
          <w:tcPr/>
          <w:p>
            <w:pPr>
              <w:pStyle w:val="Compact"/>
              <w:spacing w:line="240" w:lineRule="auto" w:after="20" w:before="20"/>
              <w:jc w:val="left"/>
            </w:pPr>
            <w:r>
              <w:rPr>
                <w:rFonts w:ascii="Times New Roman" w:hAnsi="Times New Roman"/>
                <w:sz w:val="18"/>
              </w:rPr>
              <w:t xml:space="preserve">3,731</w:t>
            </w:r>
          </w:p>
        </w:tc>
        <w:tc>
          <w:tcPr/>
          <w:p>
            <w:pPr>
              <w:pStyle w:val="Compact"/>
              <w:spacing w:line="240" w:lineRule="auto" w:after="20" w:before="20"/>
              <w:jc w:val="left"/>
            </w:pPr>
            <w:r>
              <w:rPr>
                <w:rFonts w:ascii="Times New Roman" w:hAnsi="Times New Roman"/>
                <w:sz w:val="18"/>
              </w:rPr>
              <w:t xml:space="preserve">480,867</w:t>
            </w:r>
          </w:p>
        </w:tc>
        <w:tc>
          <w:tcPr/>
          <w:p>
            <w:pPr>
              <w:pStyle w:val="Compact"/>
              <w:spacing w:line="240" w:lineRule="auto" w:after="20" w:before="20"/>
              <w:jc w:val="left"/>
            </w:pPr>
            <w:r>
              <w:rPr>
                <w:rFonts w:ascii="Times New Roman" w:hAnsi="Times New Roman"/>
                <w:sz w:val="18"/>
              </w:rPr>
              <w:t xml:space="preserve">Broader-phenotype comparison; self-reported hyperthyroidism or thyrotoxicosis; ancestry not established as exclusively European</w:t>
            </w:r>
          </w:p>
        </w:tc>
      </w:tr>
      <w:tr>
        <w:trPr>
          <w:cantSplit/>
        </w:trPr>
        <w:tc>
          <w:tcPr/>
          <w:p>
            <w:pPr>
              <w:pStyle w:val="Compact"/>
              <w:spacing w:line="240" w:lineRule="auto" w:after="20" w:before="20"/>
              <w:jc w:val="left"/>
            </w:pPr>
            <w:r>
              <w:rPr>
                <w:rFonts w:ascii="Times New Roman" w:hAnsi="Times New Roman"/>
                <w:sz w:val="18"/>
              </w:rPr>
              <w:t xml:space="preserve">FinnGen GO (GRAVES_OPHT)</w:t>
            </w:r>
          </w:p>
        </w:tc>
        <w:tc>
          <w:tcPr/>
          <w:p>
            <w:pPr>
              <w:pStyle w:val="Compact"/>
              <w:spacing w:line="240" w:lineRule="auto" w:after="20" w:before="20"/>
              <w:jc w:val="left"/>
            </w:pPr>
            <w:r>
              <w:rPr>
                <w:rFonts w:ascii="Times New Roman" w:hAnsi="Times New Roman"/>
                <w:sz w:val="18"/>
              </w:rPr>
              <w:t xml:space="preserve">858</w:t>
            </w:r>
          </w:p>
        </w:tc>
        <w:tc>
          <w:tcPr/>
          <w:p>
            <w:pPr>
              <w:pStyle w:val="Compact"/>
              <w:spacing w:line="240" w:lineRule="auto" w:after="20" w:before="20"/>
              <w:jc w:val="left"/>
            </w:pPr>
            <w:r>
              <w:rPr>
                <w:rFonts w:ascii="Times New Roman" w:hAnsi="Times New Roman"/>
                <w:sz w:val="18"/>
              </w:rPr>
              <w:t xml:space="preserve">499,490</w:t>
            </w:r>
          </w:p>
        </w:tc>
        <w:tc>
          <w:tcPr/>
          <w:p>
            <w:pPr>
              <w:pStyle w:val="Compact"/>
              <w:spacing w:line="240" w:lineRule="auto" w:after="20" w:before="20"/>
              <w:jc w:val="left"/>
            </w:pPr>
            <w:r>
              <w:rPr>
                <w:rFonts w:ascii="Times New Roman" w:hAnsi="Times New Roman"/>
                <w:sz w:val="18"/>
              </w:rPr>
              <w:t xml:space="preserve">Original ophthalmopathy (TED-enriched) comparison; Finnish</w:t>
            </w:r>
          </w:p>
        </w:tc>
      </w:tr>
      <w:tr>
        <w:trPr>
          <w:cantSplit/>
        </w:trPr>
        <w:tc>
          <w:tcPr/>
          <w:p>
            <w:pPr>
              <w:pStyle w:val="Compact"/>
              <w:spacing w:line="240" w:lineRule="auto" w:after="20" w:before="20"/>
              <w:jc w:val="left"/>
            </w:pPr>
            <w:r>
              <w:rPr>
                <w:rFonts w:ascii="Times New Roman" w:hAnsi="Times New Roman"/>
                <w:sz w:val="18"/>
              </w:rPr>
              <w:t xml:space="preserve">FinnGen GO strict (E4_GRAVES_OPHT_STRICT)</w:t>
            </w:r>
          </w:p>
        </w:tc>
        <w:tc>
          <w:tcPr/>
          <w:p>
            <w:pPr>
              <w:pStyle w:val="Compact"/>
              <w:spacing w:line="240" w:lineRule="auto" w:after="20" w:before="20"/>
              <w:jc w:val="left"/>
            </w:pPr>
            <w:r>
              <w:rPr>
                <w:rFonts w:ascii="Times New Roman" w:hAnsi="Times New Roman"/>
                <w:sz w:val="18"/>
              </w:rPr>
              <w:t xml:space="preserve">753</w:t>
            </w:r>
          </w:p>
        </w:tc>
        <w:tc>
          <w:tcPr/>
          <w:p>
            <w:pPr>
              <w:pStyle w:val="Compact"/>
              <w:spacing w:line="240" w:lineRule="auto" w:after="20" w:before="20"/>
              <w:jc w:val="left"/>
            </w:pPr>
            <w:r>
              <w:rPr>
                <w:rFonts w:ascii="Times New Roman" w:hAnsi="Times New Roman"/>
                <w:sz w:val="18"/>
              </w:rPr>
              <w:t xml:space="preserve">499,595</w:t>
            </w:r>
          </w:p>
        </w:tc>
        <w:tc>
          <w:tcPr/>
          <w:p>
            <w:pPr>
              <w:pStyle w:val="Compact"/>
              <w:spacing w:line="240" w:lineRule="auto" w:after="20" w:before="20"/>
              <w:jc w:val="left"/>
            </w:pPr>
            <w:r>
              <w:rPr>
                <w:rFonts w:ascii="Times New Roman" w:hAnsi="Times New Roman"/>
                <w:sz w:val="18"/>
              </w:rPr>
              <w:t xml:space="preserve">Post hoc ophthalmopathy definition sensitivity; Finnish</w:t>
            </w:r>
          </w:p>
        </w:tc>
      </w:tr>
      <w:tr>
        <w:trPr>
          <w:cantSplit/>
        </w:trPr>
        <w:tc>
          <w:tcPr/>
          <w:p>
            <w:pPr>
              <w:pStyle w:val="Compact"/>
              <w:spacing w:line="240" w:lineRule="auto" w:after="20" w:before="20"/>
              <w:jc w:val="left"/>
            </w:pPr>
            <w:r>
              <w:rPr>
                <w:rFonts w:ascii="Times New Roman" w:hAnsi="Times New Roman"/>
                <w:sz w:val="18"/>
              </w:rPr>
              <w:t xml:space="preserve">GTEx v8 tissue 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Post hoc tissue extension (thyroid, cultured fibroblasts, subcutaneous and visceral adipose, whole blood; n = 469–670; Table S4)</w:t>
            </w:r>
          </w:p>
        </w:tc>
      </w:tr>
      <w:tr>
        <w:trPr>
          <w:cantSplit/>
        </w:trPr>
        <w:tc>
          <w:tcPr/>
          <w:p>
            <w:pPr>
              <w:pStyle w:val="Compact"/>
              <w:spacing w:line="240" w:lineRule="auto" w:after="20" w:before="20"/>
              <w:jc w:val="left"/>
            </w:pPr>
            <w:r>
              <w:rPr>
                <w:rFonts w:ascii="Times New Roman" w:hAnsi="Times New Roman"/>
                <w:sz w:val="18"/>
              </w:rPr>
              <w:t xml:space="preserve">1000 Genomes Phase 3 European reference (n = 503)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LD clumping of instruments and reference allele frequencies</w:t>
            </w:r>
          </w:p>
        </w:tc>
      </w:tr>
    </w:tbl>
    <w:p>
      <w:pPr>
        <w:pStyle w:val="BodyText"/>
        <w:spacing w:line="264" w:lineRule="auto" w:after="120"/>
      </w:pPr>
      <w:r>
        <w:rPr>
          <w:color w:val="000000"/>
          <w:sz w:val="18"/>
        </w:rPr>
        <w:t xml:space="preserve">The three FinnGen R12 endpoints share participants and are not independent replications. FinnGen ophthalmopathy controls are all other participants, including people with GD but no recorded eye disease, so GO estimates do not estimate TED risk among patients with GD. UKB hyperthyroidism is broader than GD.</w:t>
      </w:r>
      <w:r>
        <w:rPr>
          <w:color w:val="000000"/>
          <w:sz w:val="18"/>
        </w:rPr>
        <w:t xml:space="preserve"> </w:t>
      </w:r>
      <w:r>
        <w:rPr>
          <w:color w:val="000000"/>
          <w:sz w:val="18"/>
        </w:rPr>
        <w:t xml:space="preserve">‘</w:t>
      </w:r>
      <w:r>
        <w:rPr>
          <w:color w:val="000000"/>
          <w:sz w:val="18"/>
        </w:rPr>
        <w:t xml:space="preserve">Strict</w:t>
      </w:r>
      <w:r>
        <w:rPr>
          <w:color w:val="000000"/>
          <w:sz w:val="18"/>
        </w:rPr>
        <w:t xml:space="preserve">’</w:t>
      </w:r>
      <w:r>
        <w:rPr>
          <w:color w:val="000000"/>
          <w:sz w:val="18"/>
        </w:rPr>
        <w:t xml:space="preserve"> </w:t>
      </w:r>
      <w:r>
        <w:rPr>
          <w:color w:val="000000"/>
          <w:sz w:val="18"/>
        </w:rPr>
        <w:t xml:space="preserve">is the FinnGen endpoint label, not proof of perfect specificity. The descriptive orbital RNA-sequencing series (four TED patients, one control) is separate from these datasets. eQTL, expression quantitative trait locus; LD, linkage disequilibrium; TED, thyroid eye disease; BBJ, Biobank Japan; FinnGen GD, E4_GRAVES_STRICT; GD, Graves disease; GO, Graves ophthalmopathy; UKB, UK Biobank.</w:t>
      </w:r>
    </w:p>
    <w:bookmarkEnd w:id="20"/>
    <w:bookmarkStart w:id="21" w:name="Xf429b501360c9e613d650688c71a5ff58981554"/>
    <w:p>
      <w:pPr>
        <w:pStyle w:val="Heading2"/>
        <w:pageBreakBefore/>
      </w:pPr>
      <w:r>
        <w:rPr>
          <w:color w:val="000000"/>
        </w:rPr>
        <w:t xml:space="preserve">Table 2. MR and colocalization results 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across five disease datasets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571"/>
        <w:gridCol w:w="1388"/>
        <w:gridCol w:w="326"/>
        <w:gridCol w:w="1224"/>
        <w:gridCol w:w="1061"/>
        <w:gridCol w:w="734"/>
        <w:gridCol w:w="571"/>
        <w:gridCol w:w="571"/>
        <w:gridCol w:w="571"/>
        <w:gridCol w:w="8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PP.H2</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PP.H3</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p12 = 10</w:t>
            </w:r>
            <w:r>
              <w:rPr>
                <w:rFonts w:ascii="Times New Roman" w:hAnsi="Times New Roman"/>
                <w:b/>
                <w:sz w:val="18"/>
                <w:vertAlign w:val="superscript"/>
              </w:rPr>
              <w:t xml:space="preserve">−6</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0.049</w:t>
            </w:r>
          </w:p>
        </w:tc>
        <w:tc>
          <w:tcPr/>
          <w:p>
            <w:pPr>
              <w:pStyle w:val="Compact"/>
              <w:spacing w:line="240" w:lineRule="auto" w:after="20" w:before="20"/>
              <w:jc w:val="left"/>
            </w:pPr>
            <w:r>
              <w:rPr>
                <w:bCs/>
                <w:rFonts w:ascii="Times New Roman" w:hAnsi="Times New Roman"/>
                <w:b/>
                <w:sz w:val="18"/>
              </w:rPr>
              <w:t xml:space="preserve">0.951</w:t>
            </w:r>
          </w:p>
        </w:tc>
        <w:tc>
          <w:tcPr/>
          <w:p>
            <w:pPr>
              <w:pStyle w:val="Compact"/>
              <w:spacing w:line="240" w:lineRule="auto" w:after="20" w:before="20"/>
              <w:jc w:val="left"/>
            </w:pPr>
            <w:r>
              <w:rPr>
                <w:rFonts w:ascii="Times New Roman" w:hAnsi="Times New Roman"/>
                <w:sz w:val="18"/>
              </w:rPr>
              <w:t xml:space="preserve">0.661</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0.736</w:t>
            </w:r>
          </w:p>
        </w:tc>
        <w:tc>
          <w:tcPr/>
          <w:p>
            <w:pPr>
              <w:pStyle w:val="Compact"/>
              <w:spacing w:line="240" w:lineRule="auto" w:after="20" w:before="20"/>
              <w:jc w:val="left"/>
            </w:pPr>
            <w:r>
              <w:rPr>
                <w:rFonts w:ascii="Times New Roman" w:hAnsi="Times New Roman"/>
                <w:sz w:val="18"/>
              </w:rPr>
              <w:t xml:space="preserve">0.264</w:t>
            </w:r>
          </w:p>
        </w:tc>
        <w:tc>
          <w:tcPr/>
          <w:p>
            <w:pPr>
              <w:pStyle w:val="Compact"/>
              <w:spacing w:line="240" w:lineRule="auto" w:after="20" w:before="20"/>
              <w:jc w:val="left"/>
            </w:pPr>
            <w:r>
              <w:rPr>
                <w:rFonts w:ascii="Times New Roman" w:hAnsi="Times New Roman"/>
                <w:sz w:val="18"/>
              </w:rPr>
              <w:t xml:space="preserve">0.035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0.09 (0.06–0.14)</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0.774</w:t>
            </w:r>
          </w:p>
        </w:tc>
        <w:tc>
          <w:tcPr/>
          <w:p>
            <w:pPr>
              <w:pStyle w:val="Compact"/>
              <w:spacing w:line="240" w:lineRule="auto" w:after="20" w:before="20"/>
              <w:jc w:val="left"/>
            </w:pPr>
            <w:r>
              <w:rPr>
                <w:rFonts w:ascii="Times New Roman" w:hAnsi="Times New Roman"/>
                <w:sz w:val="18"/>
              </w:rPr>
              <w:t xml:space="preserve">0.226</w:t>
            </w:r>
          </w:p>
        </w:tc>
        <w:tc>
          <w:tcPr/>
          <w:p>
            <w:pPr>
              <w:pStyle w:val="Compact"/>
              <w:spacing w:line="240" w:lineRule="auto" w:after="20" w:before="20"/>
              <w:jc w:val="left"/>
            </w:pPr>
            <w:r>
              <w:rPr>
                <w:rFonts w:ascii="Times New Roman" w:hAnsi="Times New Roman"/>
                <w:sz w:val="18"/>
              </w:rPr>
              <w:t xml:space="preserve">0.028</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0.10 (0.04–0.24)</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0.014</w:t>
            </w:r>
          </w:p>
        </w:tc>
        <w:tc>
          <w:tcPr/>
          <w:p>
            <w:pPr>
              <w:pStyle w:val="Compact"/>
              <w:spacing w:line="240" w:lineRule="auto" w:after="20" w:before="20"/>
              <w:jc w:val="left"/>
            </w:pPr>
            <w:r>
              <w:rPr>
                <w:bCs/>
                <w:rFonts w:ascii="Times New Roman" w:hAnsi="Times New Roman"/>
                <w:b/>
                <w:sz w:val="18"/>
              </w:rPr>
              <w:t xml:space="preserve">0.986</w:t>
            </w:r>
          </w:p>
        </w:tc>
        <w:tc>
          <w:tcPr/>
          <w:p>
            <w:pPr>
              <w:pStyle w:val="Compact"/>
              <w:spacing w:line="240" w:lineRule="auto" w:after="20" w:before="20"/>
              <w:jc w:val="left"/>
            </w:pPr>
            <w:r>
              <w:rPr>
                <w:bCs/>
                <w:rFonts w:ascii="Times New Roman" w:hAnsi="Times New Roman"/>
                <w:b/>
                <w:sz w:val="18"/>
              </w:rPr>
              <w:t xml:space="preserve">0.875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0.15 (0.06–0.39)</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0.027</w:t>
            </w:r>
          </w:p>
        </w:tc>
        <w:tc>
          <w:tcPr/>
          <w:p>
            <w:pPr>
              <w:pStyle w:val="Compact"/>
              <w:spacing w:line="240" w:lineRule="auto" w:after="20" w:before="20"/>
              <w:jc w:val="left"/>
            </w:pPr>
            <w:r>
              <w:rPr>
                <w:rFonts w:ascii="Times New Roman" w:hAnsi="Times New Roman"/>
                <w:sz w:val="18"/>
              </w:rPr>
              <w:t xml:space="preserve">0.082</w:t>
            </w:r>
          </w:p>
        </w:tc>
        <w:tc>
          <w:tcPr/>
          <w:p>
            <w:pPr>
              <w:pStyle w:val="Compact"/>
              <w:spacing w:line="240" w:lineRule="auto" w:after="20" w:before="20"/>
              <w:jc w:val="left"/>
            </w:pPr>
            <w:r>
              <w:rPr>
                <w:bCs/>
                <w:rFonts w:ascii="Times New Roman" w:hAnsi="Times New Roman"/>
                <w:b/>
                <w:sz w:val="18"/>
              </w:rPr>
              <w:t xml:space="preserve">0.891</w:t>
            </w:r>
          </w:p>
        </w:tc>
        <w:tc>
          <w:tcPr/>
          <w:p>
            <w:pPr>
              <w:pStyle w:val="Compact"/>
              <w:spacing w:line="240" w:lineRule="auto" w:after="20" w:before="20"/>
              <w:jc w:val="left"/>
            </w:pPr>
            <w:r>
              <w:rPr>
                <w:rFonts w:ascii="Times New Roman" w:hAnsi="Times New Roman"/>
                <w:sz w:val="18"/>
              </w:rPr>
              <w:t xml:space="preserve">0.451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1.56 (1.07–2.28)</w:t>
            </w:r>
          </w:p>
        </w:tc>
        <w:tc>
          <w:tcPr/>
          <w:p>
            <w:pPr>
              <w:pStyle w:val="Compact"/>
              <w:spacing w:line="240" w:lineRule="auto" w:after="20" w:before="20"/>
              <w:jc w:val="left"/>
            </w:pPr>
            <w:r>
              <w:rPr>
                <w:rFonts w:ascii="Times New Roman" w:hAnsi="Times New Roman"/>
                <w:sz w:val="18"/>
              </w:rPr>
              <w:t xml:space="preserve">0.0212*</w:t>
            </w:r>
          </w:p>
        </w:tc>
        <w:tc>
          <w:tcPr/>
          <w:p>
            <w:pPr>
              <w:pStyle w:val="Compact"/>
              <w:spacing w:line="240" w:lineRule="auto" w:after="20" w:before="20"/>
              <w:jc w:val="left"/>
            </w:pPr>
            <w:r>
              <w:rPr>
                <w:rFonts w:ascii="Times New Roman" w:hAnsi="Times New Roman"/>
                <w:sz w:val="18"/>
              </w:rPr>
              <w:t xml:space="preserve">0.902</w:t>
            </w:r>
          </w:p>
        </w:tc>
        <w:tc>
          <w:tcPr/>
          <w:p>
            <w:pPr>
              <w:pStyle w:val="Compact"/>
              <w:spacing w:line="240" w:lineRule="auto" w:after="20" w:before="20"/>
              <w:jc w:val="left"/>
            </w:pPr>
            <w:r>
              <w:rPr>
                <w:rFonts w:ascii="Times New Roman" w:hAnsi="Times New Roman"/>
                <w:sz w:val="18"/>
              </w:rPr>
              <w:t xml:space="preserve">0.690</w:t>
            </w:r>
          </w:p>
        </w:tc>
        <w:tc>
          <w:tcPr/>
          <w:p>
            <w:pPr>
              <w:pStyle w:val="Compact"/>
              <w:spacing w:line="240" w:lineRule="auto" w:after="20" w:before="20"/>
              <w:jc w:val="left"/>
            </w:pPr>
            <w:r>
              <w:rPr>
                <w:rFonts w:ascii="Times New Roman" w:hAnsi="Times New Roman"/>
                <w:sz w:val="18"/>
              </w:rPr>
              <w:t xml:space="preserve">0.236</w:t>
            </w:r>
          </w:p>
        </w:tc>
        <w:tc>
          <w:tcPr/>
          <w:p>
            <w:pPr>
              <w:pStyle w:val="Compact"/>
              <w:spacing w:line="240" w:lineRule="auto" w:after="20" w:before="20"/>
              <w:jc w:val="left"/>
            </w:pPr>
            <w:r>
              <w:rPr>
                <w:rFonts w:ascii="Times New Roman" w:hAnsi="Times New Roman"/>
                <w:sz w:val="18"/>
              </w:rPr>
              <w:t xml:space="preserve">0.073</w:t>
            </w:r>
          </w:p>
        </w:tc>
        <w:tc>
          <w:tcPr/>
          <w:p>
            <w:pPr>
              <w:pStyle w:val="Compact"/>
              <w:spacing w:line="240" w:lineRule="auto" w:after="20" w:before="20"/>
              <w:jc w:val="left"/>
            </w:pPr>
            <w:r>
              <w:rPr>
                <w:rFonts w:ascii="Times New Roman" w:hAnsi="Times New Roman"/>
                <w:sz w:val="18"/>
              </w:rPr>
              <w:t xml:space="preserve">0.008</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1.07 (0.86–1.33)</w:t>
            </w:r>
          </w:p>
        </w:tc>
        <w:tc>
          <w:tcPr/>
          <w:p>
            <w:pPr>
              <w:pStyle w:val="Compact"/>
              <w:spacing w:line="240" w:lineRule="auto" w:after="20" w:before="20"/>
              <w:jc w:val="left"/>
            </w:pPr>
            <w:r>
              <w:rPr>
                <w:rFonts w:ascii="Times New Roman" w:hAnsi="Times New Roman"/>
                <w:sz w:val="18"/>
              </w:rPr>
              <w:t xml:space="preserve">0.539</w:t>
            </w:r>
          </w:p>
        </w:tc>
        <w:tc>
          <w:tcPr/>
          <w:p>
            <w:pPr>
              <w:pStyle w:val="Compact"/>
              <w:spacing w:line="240" w:lineRule="auto" w:after="20" w:before="20"/>
              <w:jc w:val="left"/>
            </w:pPr>
            <w:r>
              <w:rPr>
                <w:rFonts w:ascii="Times New Roman" w:hAnsi="Times New Roman"/>
                <w:sz w:val="18"/>
              </w:rPr>
              <w:t xml:space="preserve">0.882</w:t>
            </w:r>
          </w:p>
        </w:tc>
        <w:tc>
          <w:tcPr/>
          <w:p>
            <w:pPr>
              <w:pStyle w:val="Compact"/>
              <w:spacing w:line="240" w:lineRule="auto" w:after="20" w:before="20"/>
              <w:jc w:val="left"/>
            </w:pPr>
            <w:r>
              <w:rPr>
                <w:rFonts w:ascii="Times New Roman" w:hAnsi="Times New Roman"/>
                <w:sz w:val="18"/>
              </w:rPr>
              <w:t xml:space="preserve">0.731</w:t>
            </w:r>
          </w:p>
        </w:tc>
        <w:tc>
          <w:tcPr/>
          <w:p>
            <w:pPr>
              <w:pStyle w:val="Compact"/>
              <w:spacing w:line="240" w:lineRule="auto" w:after="20" w:before="20"/>
              <w:jc w:val="left"/>
            </w:pPr>
            <w:r>
              <w:rPr>
                <w:rFonts w:ascii="Times New Roman" w:hAnsi="Times New Roman"/>
                <w:sz w:val="18"/>
              </w:rPr>
              <w:t xml:space="preserve">0.259</w:t>
            </w:r>
          </w:p>
        </w:tc>
        <w:tc>
          <w:tcPr/>
          <w:p>
            <w:pPr>
              <w:pStyle w:val="Compact"/>
              <w:spacing w:line="240" w:lineRule="auto" w:after="20" w:before="20"/>
              <w:jc w:val="left"/>
            </w:pPr>
            <w:r>
              <w:rPr>
                <w:rFonts w:ascii="Times New Roman" w:hAnsi="Times New Roman"/>
                <w:sz w:val="18"/>
              </w:rPr>
              <w:t xml:space="preserve">0.010</w:t>
            </w:r>
          </w:p>
        </w:tc>
        <w:tc>
          <w:tcPr/>
          <w:p>
            <w:pPr>
              <w:pStyle w:val="Compact"/>
              <w:spacing w:line="240" w:lineRule="auto" w:after="20" w:before="20"/>
              <w:jc w:val="left"/>
            </w:pPr>
            <w:r>
              <w:rPr>
                <w:rFonts w:ascii="Times New Roman" w:hAnsi="Times New Roman"/>
                <w:sz w:val="18"/>
              </w:rPr>
              <w:t xml:space="preserve">0.001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1.35 (1.07–1.70)</w:t>
            </w:r>
          </w:p>
        </w:tc>
        <w:tc>
          <w:tcPr/>
          <w:p>
            <w:pPr>
              <w:pStyle w:val="Compact"/>
              <w:spacing w:line="240" w:lineRule="auto" w:after="20" w:before="20"/>
              <w:jc w:val="left"/>
            </w:pPr>
            <w:r>
              <w:rPr>
                <w:rFonts w:ascii="Times New Roman" w:hAnsi="Times New Roman"/>
                <w:sz w:val="18"/>
              </w:rPr>
              <w:t xml:space="preserve">0.0117*</w:t>
            </w:r>
          </w:p>
        </w:tc>
        <w:tc>
          <w:tcPr/>
          <w:p>
            <w:pPr>
              <w:pStyle w:val="Compact"/>
              <w:spacing w:line="240" w:lineRule="auto" w:after="20" w:before="20"/>
              <w:jc w:val="left"/>
            </w:pPr>
            <w:r>
              <w:rPr>
                <w:rFonts w:ascii="Times New Roman" w:hAnsi="Times New Roman"/>
                <w:sz w:val="18"/>
              </w:rPr>
              <w:t xml:space="preserve">0.250</w:t>
            </w:r>
          </w:p>
        </w:tc>
        <w:tc>
          <w:tcPr/>
          <w:p>
            <w:pPr>
              <w:pStyle w:val="Compact"/>
              <w:spacing w:line="240" w:lineRule="auto" w:after="20" w:before="20"/>
              <w:jc w:val="left"/>
            </w:pPr>
            <w:r>
              <w:rPr>
                <w:rFonts w:ascii="Times New Roman" w:hAnsi="Times New Roman"/>
                <w:sz w:val="18"/>
              </w:rPr>
              <w:t xml:space="preserve">0.400</w:t>
            </w:r>
          </w:p>
        </w:tc>
        <w:tc>
          <w:tcPr/>
          <w:p>
            <w:pPr>
              <w:pStyle w:val="Compact"/>
              <w:spacing w:line="240" w:lineRule="auto" w:after="20" w:before="20"/>
              <w:jc w:val="left"/>
            </w:pPr>
            <w:r>
              <w:rPr>
                <w:rFonts w:ascii="Times New Roman" w:hAnsi="Times New Roman"/>
                <w:sz w:val="18"/>
              </w:rPr>
              <w:t xml:space="preserve">0.196</w:t>
            </w:r>
          </w:p>
        </w:tc>
        <w:tc>
          <w:tcPr/>
          <w:p>
            <w:pPr>
              <w:pStyle w:val="Compact"/>
              <w:spacing w:line="240" w:lineRule="auto" w:after="20" w:before="20"/>
              <w:jc w:val="left"/>
            </w:pPr>
            <w:r>
              <w:rPr>
                <w:rFonts w:ascii="Times New Roman" w:hAnsi="Times New Roman"/>
                <w:sz w:val="18"/>
              </w:rPr>
              <w:t xml:space="preserve">0.404</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1.41 (0.85–2.33)</w:t>
            </w:r>
          </w:p>
        </w:tc>
        <w:tc>
          <w:tcPr/>
          <w:p>
            <w:pPr>
              <w:pStyle w:val="Compact"/>
              <w:spacing w:line="240" w:lineRule="auto" w:after="20" w:before="20"/>
              <w:jc w:val="left"/>
            </w:pPr>
            <w:r>
              <w:rPr>
                <w:rFonts w:ascii="Times New Roman" w:hAnsi="Times New Roman"/>
                <w:sz w:val="18"/>
              </w:rPr>
              <w:t xml:space="preserve">0.182</w:t>
            </w:r>
          </w:p>
        </w:tc>
        <w:tc>
          <w:tcPr/>
          <w:p>
            <w:pPr>
              <w:pStyle w:val="Compact"/>
              <w:spacing w:line="240" w:lineRule="auto" w:after="20" w:before="20"/>
              <w:jc w:val="left"/>
            </w:pPr>
            <w:r>
              <w:rPr>
                <w:rFonts w:ascii="Times New Roman" w:hAnsi="Times New Roman"/>
                <w:sz w:val="18"/>
              </w:rPr>
              <w:t xml:space="preserve">0.309</w:t>
            </w:r>
          </w:p>
        </w:tc>
        <w:tc>
          <w:tcPr/>
          <w:p>
            <w:pPr>
              <w:pStyle w:val="Compact"/>
              <w:spacing w:line="240" w:lineRule="auto" w:after="20" w:before="20"/>
              <w:jc w:val="left"/>
            </w:pPr>
            <w:r>
              <w:rPr>
                <w:rFonts w:ascii="Times New Roman" w:hAnsi="Times New Roman"/>
                <w:sz w:val="18"/>
              </w:rPr>
              <w:t xml:space="preserve">0.623</w:t>
            </w:r>
          </w:p>
        </w:tc>
        <w:tc>
          <w:tcPr/>
          <w:p>
            <w:pPr>
              <w:pStyle w:val="Compact"/>
              <w:spacing w:line="240" w:lineRule="auto" w:after="20" w:before="20"/>
              <w:jc w:val="left"/>
            </w:pPr>
            <w:r>
              <w:rPr>
                <w:rFonts w:ascii="Times New Roman" w:hAnsi="Times New Roman"/>
                <w:sz w:val="18"/>
              </w:rPr>
              <w:t xml:space="preserve">0.346</w:t>
            </w:r>
          </w:p>
        </w:tc>
        <w:tc>
          <w:tcPr/>
          <w:p>
            <w:pPr>
              <w:pStyle w:val="Compact"/>
              <w:spacing w:line="240" w:lineRule="auto" w:after="20" w:before="20"/>
              <w:jc w:val="left"/>
            </w:pPr>
            <w:r>
              <w:rPr>
                <w:rFonts w:ascii="Times New Roman" w:hAnsi="Times New Roman"/>
                <w:sz w:val="18"/>
              </w:rPr>
              <w:t xml:space="preserve">0.032</w:t>
            </w:r>
          </w:p>
        </w:tc>
        <w:tc>
          <w:tcPr/>
          <w:p>
            <w:pPr>
              <w:pStyle w:val="Compact"/>
              <w:spacing w:line="240" w:lineRule="auto" w:after="20" w:before="20"/>
              <w:jc w:val="left"/>
            </w:pPr>
            <w:r>
              <w:rPr>
                <w:rFonts w:ascii="Times New Roman" w:hAnsi="Times New Roman"/>
                <w:sz w:val="18"/>
              </w:rPr>
              <w:t xml:space="preserve">0.003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1.52 (0.92–2.49)</w:t>
            </w:r>
          </w:p>
        </w:tc>
        <w:tc>
          <w:tcPr/>
          <w:p>
            <w:pPr>
              <w:pStyle w:val="Compact"/>
              <w:spacing w:line="240" w:lineRule="auto" w:after="20" w:before="20"/>
              <w:jc w:val="left"/>
            </w:pPr>
            <w:r>
              <w:rPr>
                <w:rFonts w:ascii="Times New Roman" w:hAnsi="Times New Roman"/>
                <w:sz w:val="18"/>
              </w:rPr>
              <w:t xml:space="preserve">0.0996</w:t>
            </w:r>
          </w:p>
        </w:tc>
        <w:tc>
          <w:tcPr/>
          <w:p>
            <w:pPr>
              <w:pStyle w:val="Compact"/>
              <w:spacing w:line="240" w:lineRule="auto" w:after="20" w:before="20"/>
              <w:jc w:val="left"/>
            </w:pPr>
            <w:r>
              <w:rPr>
                <w:rFonts w:ascii="Times New Roman" w:hAnsi="Times New Roman"/>
                <w:sz w:val="18"/>
              </w:rPr>
              <w:t xml:space="preserve">0.409</w:t>
            </w:r>
          </w:p>
        </w:tc>
        <w:tc>
          <w:tcPr/>
          <w:p>
            <w:pPr>
              <w:pStyle w:val="Compact"/>
              <w:spacing w:line="240" w:lineRule="auto" w:after="20" w:before="20"/>
              <w:jc w:val="left"/>
            </w:pPr>
            <w:r>
              <w:rPr>
                <w:rFonts w:ascii="Times New Roman" w:hAnsi="Times New Roman"/>
                <w:sz w:val="18"/>
              </w:rPr>
              <w:t xml:space="preserve">0.571</w:t>
            </w:r>
          </w:p>
        </w:tc>
        <w:tc>
          <w:tcPr/>
          <w:p>
            <w:pPr>
              <w:pStyle w:val="Compact"/>
              <w:spacing w:line="240" w:lineRule="auto" w:after="20" w:before="20"/>
              <w:jc w:val="left"/>
            </w:pPr>
            <w:r>
              <w:rPr>
                <w:rFonts w:ascii="Times New Roman" w:hAnsi="Times New Roman"/>
                <w:sz w:val="18"/>
              </w:rPr>
              <w:t xml:space="preserve">0.391</w:t>
            </w:r>
          </w:p>
        </w:tc>
        <w:tc>
          <w:tcPr/>
          <w:p>
            <w:pPr>
              <w:pStyle w:val="Compact"/>
              <w:spacing w:line="240" w:lineRule="auto" w:after="20" w:before="20"/>
              <w:jc w:val="left"/>
            </w:pPr>
            <w:r>
              <w:rPr>
                <w:rFonts w:ascii="Times New Roman" w:hAnsi="Times New Roman"/>
                <w:sz w:val="18"/>
              </w:rPr>
              <w:t xml:space="preserve">0.038</w:t>
            </w:r>
          </w:p>
        </w:tc>
        <w:tc>
          <w:tcPr/>
          <w:p>
            <w:pPr>
              <w:pStyle w:val="Compact"/>
              <w:spacing w:line="240" w:lineRule="auto" w:after="20" w:before="20"/>
              <w:jc w:val="left"/>
            </w:pPr>
            <w:r>
              <w:rPr>
                <w:rFonts w:ascii="Times New Roman" w:hAnsi="Times New Roman"/>
                <w:sz w:val="18"/>
              </w:rPr>
              <w:t xml:space="preserve">0.004</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0.799</w:t>
            </w:r>
          </w:p>
        </w:tc>
        <w:tc>
          <w:tcPr/>
          <w:p>
            <w:pPr>
              <w:pStyle w:val="Compact"/>
              <w:spacing w:line="240" w:lineRule="auto" w:after="20" w:before="20"/>
              <w:jc w:val="left"/>
            </w:pPr>
            <w:r>
              <w:rPr>
                <w:rFonts w:ascii="Times New Roman" w:hAnsi="Times New Roman"/>
                <w:sz w:val="18"/>
              </w:rPr>
              <w:t xml:space="preserve">0.201</w:t>
            </w:r>
          </w:p>
        </w:tc>
        <w:tc>
          <w:tcPr/>
          <w:p>
            <w:pPr>
              <w:pStyle w:val="Compact"/>
              <w:spacing w:line="240" w:lineRule="auto" w:after="20" w:before="20"/>
              <w:jc w:val="left"/>
            </w:pPr>
            <w:r>
              <w:rPr>
                <w:rFonts w:ascii="Times New Roman" w:hAnsi="Times New Roman"/>
                <w:sz w:val="18"/>
              </w:rPr>
              <w:t xml:space="preserve">0.025</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0.0275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0.746</w:t>
            </w:r>
          </w:p>
        </w:tc>
        <w:tc>
          <w:tcPr/>
          <w:p>
            <w:pPr>
              <w:pStyle w:val="Compact"/>
              <w:spacing w:line="240" w:lineRule="auto" w:after="20" w:before="20"/>
              <w:jc w:val="left"/>
            </w:pPr>
            <w:r>
              <w:rPr>
                <w:rFonts w:ascii="Times New Roman" w:hAnsi="Times New Roman"/>
                <w:sz w:val="18"/>
              </w:rPr>
              <w:t xml:space="preserve">0.254</w:t>
            </w:r>
          </w:p>
        </w:tc>
        <w:tc>
          <w:tcPr/>
          <w:p>
            <w:pPr>
              <w:pStyle w:val="Compact"/>
              <w:spacing w:line="240" w:lineRule="auto" w:after="20" w:before="20"/>
              <w:jc w:val="left"/>
            </w:pPr>
            <w:r>
              <w:rPr>
                <w:rFonts w:ascii="Times New Roman" w:hAnsi="Times New Roman"/>
                <w:sz w:val="18"/>
              </w:rPr>
              <w:t xml:space="preserve">0.033</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0.21 (0.08–0.57)</w:t>
            </w:r>
          </w:p>
        </w:tc>
        <w:tc>
          <w:tcPr/>
          <w:p>
            <w:pPr>
              <w:pStyle w:val="Compact"/>
              <w:spacing w:line="240" w:lineRule="auto" w:after="20" w:before="20"/>
              <w:jc w:val="left"/>
            </w:pPr>
            <w:r>
              <w:rPr>
                <w:rFonts w:ascii="Times New Roman" w:hAnsi="Times New Roman"/>
                <w:sz w:val="18"/>
              </w:rPr>
              <w:t xml:space="preserve">0.00220*</w:t>
            </w:r>
          </w:p>
        </w:tc>
        <w:tc>
          <w:tcPr/>
          <w:p>
            <w:pPr>
              <w:pStyle w:val="Compact"/>
              <w:spacing w:line="240" w:lineRule="auto" w:after="20" w:before="20"/>
              <w:jc w:val="left"/>
            </w:pPr>
            <w:r>
              <w:rPr>
                <w:rFonts w:ascii="Times New Roman" w:hAnsi="Times New Roman"/>
                <w:sz w:val="18"/>
              </w:rPr>
              <w:t xml:space="preserve">0.00131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0.047</w:t>
            </w:r>
          </w:p>
        </w:tc>
        <w:tc>
          <w:tcPr/>
          <w:p>
            <w:pPr>
              <w:pStyle w:val="Compact"/>
              <w:spacing w:line="240" w:lineRule="auto" w:after="20" w:before="20"/>
              <w:jc w:val="left"/>
            </w:pPr>
            <w:r>
              <w:rPr>
                <w:bCs/>
                <w:rFonts w:ascii="Times New Roman" w:hAnsi="Times New Roman"/>
                <w:b/>
                <w:sz w:val="18"/>
              </w:rPr>
              <w:t xml:space="preserve">0.953</w:t>
            </w:r>
          </w:p>
        </w:tc>
        <w:tc>
          <w:tcPr/>
          <w:p>
            <w:pPr>
              <w:pStyle w:val="Compact"/>
              <w:spacing w:line="240" w:lineRule="auto" w:after="20" w:before="20"/>
              <w:jc w:val="left"/>
            </w:pPr>
            <w:r>
              <w:rPr>
                <w:rFonts w:ascii="Times New Roman" w:hAnsi="Times New Roman"/>
                <w:sz w:val="18"/>
              </w:rPr>
              <w:t xml:space="preserve">0.672</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(0.04–0.68)</w:t>
            </w:r>
          </w:p>
        </w:tc>
        <w:tc>
          <w:tcPr/>
          <w:p>
            <w:pPr>
              <w:pStyle w:val="Compact"/>
              <w:spacing w:line="240" w:lineRule="auto" w:after="20" w:before="20"/>
              <w:jc w:val="left"/>
            </w:pPr>
            <w:r>
              <w:rPr>
                <w:rFonts w:ascii="Times New Roman" w:hAnsi="Times New Roman"/>
                <w:sz w:val="18"/>
              </w:rPr>
              <w:t xml:space="preserve">0.0118*</w:t>
            </w:r>
          </w:p>
        </w:tc>
        <w:tc>
          <w:tcPr/>
          <w:p>
            <w:pPr>
              <w:pStyle w:val="Compact"/>
              <w:spacing w:line="240" w:lineRule="auto" w:after="20" w:before="20"/>
              <w:jc w:val="left"/>
            </w:pPr>
            <w:r>
              <w:rPr>
                <w:rFonts w:ascii="Times New Roman" w:hAnsi="Times New Roman"/>
                <w:sz w:val="18"/>
              </w:rPr>
              <w:t xml:space="preserve">0.0486</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bCs/>
                <w:rFonts w:ascii="Times New Roman" w:hAnsi="Times New Roman"/>
                <w:b/>
                <w:sz w:val="18"/>
              </w:rPr>
              <w:t xml:space="preserve">0.978</w:t>
            </w:r>
          </w:p>
        </w:tc>
        <w:tc>
          <w:tcPr/>
          <w:p>
            <w:pPr>
              <w:pStyle w:val="Compact"/>
              <w:spacing w:line="240" w:lineRule="auto" w:after="20" w:before="20"/>
              <w:jc w:val="left"/>
            </w:pPr>
            <w:r>
              <w:rPr>
                <w:bCs/>
                <w:rFonts w:ascii="Times New Roman" w:hAnsi="Times New Roman"/>
                <w:b/>
                <w:sz w:val="18"/>
              </w:rPr>
              <w:t xml:space="preserve">0.816</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(0.05–0.64)</w:t>
            </w:r>
          </w:p>
        </w:tc>
        <w:tc>
          <w:tcPr/>
          <w:p>
            <w:pPr>
              <w:pStyle w:val="Compact"/>
              <w:spacing w:line="240" w:lineRule="auto" w:after="20" w:before="20"/>
              <w:jc w:val="left"/>
            </w:pPr>
            <w:r>
              <w:rPr>
                <w:rFonts w:ascii="Times New Roman" w:hAnsi="Times New Roman"/>
                <w:sz w:val="18"/>
              </w:rPr>
              <w:t xml:space="preserve">0.00888*</w:t>
            </w:r>
          </w:p>
        </w:tc>
        <w:tc>
          <w:tcPr/>
          <w:p>
            <w:pPr>
              <w:pStyle w:val="Compact"/>
              <w:spacing w:line="240" w:lineRule="auto" w:after="20" w:before="20"/>
              <w:jc w:val="left"/>
            </w:pPr>
            <w:r>
              <w:rPr>
                <w:rFonts w:ascii="Times New Roman" w:hAnsi="Times New Roman"/>
                <w:sz w:val="18"/>
              </w:rPr>
              <w:t xml:space="preserve">0.0755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0.021</w:t>
            </w:r>
          </w:p>
        </w:tc>
        <w:tc>
          <w:tcPr/>
          <w:p>
            <w:pPr>
              <w:pStyle w:val="Compact"/>
              <w:spacing w:line="240" w:lineRule="auto" w:after="20" w:before="20"/>
              <w:jc w:val="left"/>
            </w:pPr>
            <w:r>
              <w:rPr>
                <w:bCs/>
                <w:rFonts w:ascii="Times New Roman" w:hAnsi="Times New Roman"/>
                <w:b/>
                <w:sz w:val="18"/>
              </w:rPr>
              <w:t xml:space="preserve">0.979</w:t>
            </w:r>
          </w:p>
        </w:tc>
        <w:tc>
          <w:tcPr/>
          <w:p>
            <w:pPr>
              <w:pStyle w:val="Compact"/>
              <w:spacing w:line="240" w:lineRule="auto" w:after="20" w:before="20"/>
              <w:jc w:val="left"/>
            </w:pPr>
            <w:r>
              <w:rPr>
                <w:bCs/>
                <w:rFonts w:ascii="Times New Roman" w:hAnsi="Times New Roman"/>
                <w:b/>
                <w:sz w:val="18"/>
              </w:rPr>
              <w:t xml:space="preserve">0.820</w:t>
            </w:r>
          </w:p>
        </w:tc>
      </w:tr>
    </w:tbl>
    <w:p>
      <w:pPr>
        <w:pStyle w:val="BodyText"/>
        <w:spacing w:line="264" w:lineRule="auto" w:after="120"/>
      </w:pPr>
      <w:r>
        <w:rPr>
          <w:color w:val="000000"/>
          <w:sz w:val="18"/>
        </w:rPr>
        <w:t xml:space="preserve">MR estimates are ORs per approximately one SD higher genetically predicted blood expression: Wald ratio for one IV, multiplicative random-effects IVW for several.</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used one instrument, rs179252, in every dataset; its G allele raises blood expression by 0.105 SD per allele (F = 176), and its per-allele disease ORs were 0.77–0.82 (Table S3). The per-SD ORs therefore rescale a moderate per-allele association, and each single-IV</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the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w:t>
      </w:r>
      <w:r>
        <w:rPr>
          <w:color w:val="000000"/>
          <w:sz w:val="18"/>
        </w:rPr>
        <w:t xml:space="preserve"> </w:t>
      </w:r>
      <w:r>
        <w:rPr>
          <w:iCs/>
          <w:i/>
          <w:color w:val="000000"/>
          <w:sz w:val="18"/>
        </w:rPr>
        <w:t xml:space="preserve">CTLA4</w:t>
      </w:r>
      <w:r>
        <w:rPr>
          <w:color w:val="000000"/>
          <w:sz w:val="18"/>
        </w:rPr>
        <w:t xml:space="preserve"> </w:t>
      </w:r>
      <w:r>
        <w:rPr>
          <w:color w:val="000000"/>
          <w:sz w:val="18"/>
        </w:rPr>
        <w:t xml:space="preserve">multi-IV estimates are concentrated in rs13030124 and heterogeneous (Q-test</w:t>
      </w:r>
      <w:r>
        <w:rPr>
          <w:color w:val="000000"/>
          <w:sz w:val="18"/>
        </w:rPr>
        <w:t xml:space="preserve"> </w:t>
      </w:r>
      <w:r>
        <w:rPr>
          <w:iCs/>
          <w:i/>
          <w:color w:val="000000"/>
          <w:sz w:val="18"/>
        </w:rPr>
        <w:t xml:space="preserve">P</w:t>
      </w:r>
      <w:r>
        <w:rPr>
          <w:color w:val="000000"/>
          <w:sz w:val="18"/>
        </w:rPr>
        <w:t xml:space="preserve">); in BBJ and UKB, two of four single-instrument omissions removed nominal</w:t>
      </w:r>
      <w:r>
        <w:rPr>
          <w:color w:val="000000"/>
          <w:sz w:val="18"/>
        </w:rPr>
        <w:t xml:space="preserve"> </w:t>
      </w:r>
      <w:r>
        <w:rPr>
          <w:iCs/>
          <w:i/>
          <w:color w:val="000000"/>
          <w:sz w:val="18"/>
        </w:rPr>
        <w:t xml:space="preserve">IGF1R</w:t>
      </w:r>
      <w:r>
        <w:rPr>
          <w:color w:val="000000"/>
          <w:sz w:val="18"/>
        </w:rPr>
        <w:t xml:space="preserve"> </w:t>
      </w:r>
      <w:r>
        <w:rPr>
          <w:color w:val="000000"/>
          <w:sz w:val="18"/>
        </w:rPr>
        <w:t xml:space="preserve">significance (Figure S2). * Nominal</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the screen threshold, applied descriptively outside BBJ. PP.H2–H4 are colocalization posterior probabilities (H2, expression signal only; H3, distinct variants; H4, one shared variant) with p1 = p2 = 10</w:t>
      </w:r>
      <w:r>
        <w:rPr>
          <w:color w:val="000000"/>
          <w:sz w:val="18"/>
          <w:vertAlign w:val="superscript"/>
        </w:rPr>
        <w:t xml:space="preserve">−4</w:t>
      </w:r>
      <w:r>
        <w:rPr>
          <w:color w:val="000000"/>
          <w:sz w:val="18"/>
        </w:rPr>
        <w:t xml:space="preserve"> </w:t>
      </w:r>
      <w:r>
        <w:rPr>
          <w:color w:val="000000"/>
          <w:sz w:val="18"/>
        </w:rPr>
        <w:t xml:space="preserve">and p12 = 10</w:t>
      </w:r>
      <w:r>
        <w:rPr>
          <w:color w:val="000000"/>
          <w:sz w:val="18"/>
          <w:vertAlign w:val="superscript"/>
        </w:rPr>
        <w:t xml:space="preserve">−5</w:t>
      </w:r>
      <w:r>
        <w:rPr>
          <w:color w:val="000000"/>
          <w:sz w:val="18"/>
        </w:rPr>
        <w:t xml:space="preserve"> </w:t>
      </w:r>
      <w:r>
        <w:rPr>
          <w:color w:val="000000"/>
          <w:sz w:val="18"/>
        </w:rPr>
        <w:t xml:space="preserve">unless stated; bold, ≥0.80. They are not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BBJ colocalization pairs European eQTL with East Asian disease statistics. FinnGen ophthalmopathy controls are all other participants, including people with GD but no recorded eye disease, so GO estimates do not estimate TED risk among patients with GD. CI, confidence interval; IV, instrumental variable; IVW, inverse-variance weighted; MR, Mendelian randomization; NA, not applicable (one IV); OR, odds ratio; PP, posterior probability; SD, standard deviation; BBJ, Biobank Japan; FinnGen GD, E4_GRAVES_STRICT; GD, Graves disease; GO, Graves ophthalmopathy; UKB, UK Biobank.</w:t>
      </w:r>
    </w:p>
    <w:bookmarkEnd w:id="21"/>
    <w:bookmarkStart w:id="22" w:name="Xbedbf67f2f6dae6e193be68ae7188f77cfe133a"/>
    <w:p>
      <w:pPr>
        <w:pStyle w:val="Heading2"/>
        <w:pageBreakBefore/>
      </w:pPr>
      <w:r>
        <w:rPr>
          <w:color w:val="000000"/>
        </w:rPr>
        <w:t xml:space="preserve">Table 3. Thirteen BBJ discoveries and their FinnGen GD comparison</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76"/>
        <w:gridCol w:w="931"/>
        <w:gridCol w:w="854"/>
        <w:gridCol w:w="1164"/>
        <w:gridCol w:w="776"/>
        <w:gridCol w:w="1242"/>
        <w:gridCol w:w="854"/>
        <w:gridCol w:w="621"/>
        <w:gridCol w:w="6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discovery 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 BBJ/FinnGen GD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Focused support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r>
      <w:tr>
        <w:trPr>
          <w:cantSplit/>
        </w:trPr>
        <w:tc>
          <w:tcPr/>
          <w:p>
            <w:pPr>
              <w:pStyle w:val="Compact"/>
              <w:spacing w:line="240" w:lineRule="auto" w:after="20" w:before="20"/>
              <w:jc w:val="left"/>
            </w:pPr>
            <w:r>
              <w:rPr>
                <w:iCs/>
                <w:rFonts w:ascii="Times New Roman" w:hAnsi="Times New Roman"/>
                <w:i/>
                <w:sz w:val="18"/>
              </w:rPr>
              <w:t xml:space="preserve">HLA-A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1.98 (1.73–2.27)</w:t>
            </w:r>
          </w:p>
        </w:tc>
        <w:tc>
          <w:tcPr/>
          <w:p>
            <w:pPr>
              <w:pStyle w:val="Compact"/>
              <w:spacing w:line="240" w:lineRule="auto" w:after="20" w:before="20"/>
              <w:jc w:val="left"/>
            </w:pPr>
            <w:r>
              <w:rPr>
                <w:rFonts w:ascii="Times New Roman" w:hAnsi="Times New Roman"/>
                <w:sz w:val="18"/>
              </w:rPr>
              <w:t xml:space="preserve">2.60×10</w:t>
            </w:r>
            <w:r>
              <w:rPr>
                <w:rFonts w:ascii="Times New Roman" w:hAnsi="Times New Roman"/>
                <w:sz w:val="18"/>
                <w:vertAlign w:val="superscript"/>
              </w:rPr>
              <w:t xml:space="preserve">−23</w:t>
            </w:r>
          </w:p>
        </w:tc>
        <w:tc>
          <w:tcPr/>
          <w:p>
            <w:pPr>
              <w:pStyle w:val="Compact"/>
              <w:spacing w:line="240" w:lineRule="auto" w:after="20" w:before="20"/>
              <w:jc w:val="left"/>
            </w:pPr>
            <w:r>
              <w:rPr>
                <w:rFonts w:ascii="Times New Roman" w:hAnsi="Times New Roman"/>
                <w:sz w:val="18"/>
              </w:rPr>
              <w:t xml:space="preserve">1.08 (0.77–1.53)</w:t>
            </w:r>
          </w:p>
        </w:tc>
        <w:tc>
          <w:tcPr/>
          <w:p>
            <w:pPr>
              <w:pStyle w:val="Compact"/>
              <w:spacing w:line="240" w:lineRule="auto" w:after="20" w:before="20"/>
              <w:jc w:val="left"/>
            </w:pPr>
            <w:r>
              <w:rPr>
                <w:rFonts w:ascii="Times New Roman" w:hAnsi="Times New Roman"/>
                <w:sz w:val="18"/>
              </w:rPr>
              <w:t xml:space="preserve">0.648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HLA-DQA2</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2.39 (1.95–2.93)</w:t>
            </w:r>
          </w:p>
        </w:tc>
        <w:tc>
          <w:tcPr/>
          <w:p>
            <w:pPr>
              <w:pStyle w:val="Compact"/>
              <w:spacing w:line="240" w:lineRule="auto" w:after="20" w:before="20"/>
              <w:jc w:val="left"/>
            </w:pPr>
            <w:r>
              <w:rPr>
                <w:rFonts w:ascii="Times New Roman" w:hAnsi="Times New Roman"/>
                <w:sz w:val="18"/>
              </w:rPr>
              <w:t xml:space="preserve">8.30×10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1.90 (1.64–2.20)</w:t>
            </w:r>
          </w:p>
        </w:tc>
        <w:tc>
          <w:tcPr/>
          <w:p>
            <w:pPr>
              <w:pStyle w:val="Compact"/>
              <w:spacing w:line="240" w:lineRule="auto" w:after="20" w:before="20"/>
              <w:jc w:val="left"/>
            </w:pPr>
            <w:r>
              <w:rPr>
                <w:rFonts w:ascii="Times New Roman" w:hAnsi="Times New Roman"/>
                <w:sz w:val="18"/>
              </w:rPr>
              <w:t xml:space="preserve">1.41×10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0.254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14</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0.264</w:t>
            </w:r>
          </w:p>
        </w:tc>
      </w:tr>
      <w:tr>
        <w:trPr>
          <w:cantSplit/>
        </w:trPr>
        <w:tc>
          <w:tcPr/>
          <w:p>
            <w:pPr>
              <w:pStyle w:val="Compact"/>
              <w:spacing w:line="240" w:lineRule="auto" w:after="20" w:before="20"/>
              <w:jc w:val="left"/>
            </w:pPr>
            <w:r>
              <w:rPr>
                <w:iCs/>
                <w:rFonts w:ascii="Times New Roman" w:hAnsi="Times New Roman"/>
                <w:i/>
                <w:sz w:val="18"/>
              </w:rPr>
              <w:t xml:space="preserve">C4A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1/3</w:t>
            </w:r>
          </w:p>
        </w:tc>
        <w:tc>
          <w:tcPr/>
          <w:p>
            <w:pPr>
              <w:pStyle w:val="Compact"/>
              <w:spacing w:line="240" w:lineRule="auto" w:after="20" w:before="20"/>
              <w:jc w:val="left"/>
            </w:pPr>
            <w:r>
              <w:rPr>
                <w:rFonts w:ascii="Times New Roman" w:hAnsi="Times New Roman"/>
                <w:sz w:val="18"/>
              </w:rPr>
              <w:t xml:space="preserve">0.45 (0.35–0.57)</w:t>
            </w:r>
          </w:p>
        </w:tc>
        <w:tc>
          <w:tcPr/>
          <w:p>
            <w:pPr>
              <w:pStyle w:val="Compact"/>
              <w:spacing w:line="240" w:lineRule="auto" w:after="20" w:before="20"/>
              <w:jc w:val="left"/>
            </w:pPr>
            <w:r>
              <w:rPr>
                <w:rFonts w:ascii="Times New Roman" w:hAnsi="Times New Roman"/>
                <w:sz w:val="18"/>
              </w:rPr>
              <w:t xml:space="preserve">2.23×10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0.41 (0.26–0.63)</w:t>
            </w:r>
          </w:p>
        </w:tc>
        <w:tc>
          <w:tcPr/>
          <w:p>
            <w:pPr>
              <w:pStyle w:val="Compact"/>
              <w:spacing w:line="240" w:lineRule="auto" w:after="20" w:before="20"/>
              <w:jc w:val="left"/>
            </w:pPr>
            <w:r>
              <w:rPr>
                <w:rFonts w:ascii="Times New Roman" w:hAnsi="Times New Roman"/>
                <w:sz w:val="18"/>
              </w:rPr>
              <w:t xml:space="preserve">4.97×10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HSD3B7</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0.29 (0.18–0.47)</w:t>
            </w:r>
          </w:p>
        </w:tc>
        <w:tc>
          <w:tcPr/>
          <w:p>
            <w:pPr>
              <w:pStyle w:val="Compact"/>
              <w:spacing w:line="240" w:lineRule="auto" w:after="20" w:before="20"/>
              <w:jc w:val="left"/>
            </w:pPr>
            <w:r>
              <w:rPr>
                <w:rFonts w:ascii="Times New Roman" w:hAnsi="Times New Roman"/>
                <w:sz w:val="18"/>
              </w:rPr>
              <w:t xml:space="preserve">2.04×10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0.90 (0.72–1.13)</w:t>
            </w:r>
          </w:p>
        </w:tc>
        <w:tc>
          <w:tcPr/>
          <w:p>
            <w:pPr>
              <w:pStyle w:val="Compact"/>
              <w:spacing w:line="240" w:lineRule="auto" w:after="20" w:before="20"/>
              <w:jc w:val="left"/>
            </w:pPr>
            <w:r>
              <w:rPr>
                <w:rFonts w:ascii="Times New Roman" w:hAnsi="Times New Roman"/>
                <w:sz w:val="18"/>
              </w:rPr>
              <w:t xml:space="preserve">0.372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TUBB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2/3</w:t>
            </w:r>
          </w:p>
        </w:tc>
        <w:tc>
          <w:tcPr/>
          <w:p>
            <w:pPr>
              <w:pStyle w:val="Compact"/>
              <w:spacing w:line="240" w:lineRule="auto" w:after="20" w:before="20"/>
              <w:jc w:val="left"/>
            </w:pPr>
            <w:r>
              <w:rPr>
                <w:rFonts w:ascii="Times New Roman" w:hAnsi="Times New Roman"/>
                <w:sz w:val="18"/>
              </w:rPr>
              <w:t xml:space="preserve">1.49 (1.28–1.74)</w:t>
            </w:r>
          </w:p>
        </w:tc>
        <w:tc>
          <w:tcPr/>
          <w:p>
            <w:pPr>
              <w:pStyle w:val="Compact"/>
              <w:spacing w:line="240" w:lineRule="auto" w:after="20" w:before="20"/>
              <w:jc w:val="left"/>
            </w:pPr>
            <w:r>
              <w:rPr>
                <w:rFonts w:ascii="Times New Roman" w:hAnsi="Times New Roman"/>
                <w:sz w:val="18"/>
              </w:rPr>
              <w:t xml:space="preserve">3.14×10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3.28 (2.09–5.17)</w:t>
            </w:r>
          </w:p>
        </w:tc>
        <w:tc>
          <w:tcPr/>
          <w:p>
            <w:pPr>
              <w:pStyle w:val="Compact"/>
              <w:spacing w:line="240" w:lineRule="auto" w:after="20" w:before="20"/>
              <w:jc w:val="left"/>
            </w:pPr>
            <w:r>
              <w:rPr>
                <w:rFonts w:ascii="Times New Roman" w:hAnsi="Times New Roman"/>
                <w:sz w:val="18"/>
              </w:rPr>
              <w:t xml:space="preserve">2.68×10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VKORC1</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1/0</w:t>
            </w:r>
          </w:p>
        </w:tc>
        <w:tc>
          <w:tcPr/>
          <w:p>
            <w:pPr>
              <w:pStyle w:val="Compact"/>
              <w:spacing w:line="240" w:lineRule="auto" w:after="20" w:before="20"/>
              <w:jc w:val="left"/>
            </w:pPr>
            <w:r>
              <w:rPr>
                <w:rFonts w:ascii="Times New Roman" w:hAnsi="Times New Roman"/>
                <w:sz w:val="18"/>
              </w:rPr>
              <w:t xml:space="preserve">0.13 (0.06–0.29)</w:t>
            </w:r>
          </w:p>
        </w:tc>
        <w:tc>
          <w:tcPr/>
          <w:p>
            <w:pPr>
              <w:pStyle w:val="Compact"/>
              <w:spacing w:line="240" w:lineRule="auto" w:after="20" w:before="20"/>
              <w:jc w:val="left"/>
            </w:pPr>
            <w:r>
              <w:rPr>
                <w:rFonts w:ascii="Times New Roman" w:hAnsi="Times New Roman"/>
                <w:sz w:val="18"/>
              </w:rPr>
              <w:t xml:space="preserve">6.35×10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TNFSF14</w:t>
            </w:r>
          </w:p>
        </w:tc>
        <w:tc>
          <w:tcPr/>
          <w:p>
            <w:pPr>
              <w:pStyle w:val="Compact"/>
              <w:spacing w:line="240" w:lineRule="auto" w:after="20" w:before="20"/>
              <w:jc w:val="left"/>
            </w:pPr>
            <w:r>
              <w:rPr>
                <w:rFonts w:ascii="Times New Roman" w:hAnsi="Times New Roman"/>
                <w:sz w:val="18"/>
              </w:rPr>
              <w:t xml:space="preserve">19</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0.63 (0.52–0.76)</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0.77 (0.65–0.92)</w:t>
            </w:r>
          </w:p>
        </w:tc>
        <w:tc>
          <w:tcPr/>
          <w:p>
            <w:pPr>
              <w:pStyle w:val="Compact"/>
              <w:spacing w:line="240" w:lineRule="auto" w:after="20" w:before="20"/>
              <w:jc w:val="left"/>
            </w:pPr>
            <w:r>
              <w:rPr>
                <w:rFonts w:ascii="Times New Roman" w:hAnsi="Times New Roman"/>
                <w:sz w:val="18"/>
              </w:rPr>
              <w:t xml:space="preserve">0.00361</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0.303</w:t>
            </w:r>
          </w:p>
        </w:tc>
      </w:tr>
      <w:tr>
        <w:trPr>
          <w:cantSplit/>
        </w:trPr>
        <w:tc>
          <w:tcPr/>
          <w:p>
            <w:pPr>
              <w:pStyle w:val="Compact"/>
              <w:spacing w:line="240" w:lineRule="auto" w:after="20" w:before="20"/>
              <w:jc w:val="left"/>
            </w:pPr>
            <w:r>
              <w:rPr>
                <w:iCs/>
                <w:rFonts w:ascii="Times New Roman" w:hAnsi="Times New Roman"/>
                <w:i/>
                <w:sz w:val="18"/>
              </w:rPr>
              <w:t xml:space="preserve">PRSS36</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6.00 (2.87–12.57)</w:t>
            </w:r>
          </w:p>
        </w:tc>
        <w:tc>
          <w:tcPr/>
          <w:p>
            <w:pPr>
              <w:pStyle w:val="Compact"/>
              <w:spacing w:line="240" w:lineRule="auto" w:after="20" w:before="20"/>
              <w:jc w:val="left"/>
            </w:pPr>
            <w:r>
              <w:rPr>
                <w:rFonts w:ascii="Times New Roman" w:hAnsi="Times New Roman"/>
                <w:sz w:val="18"/>
              </w:rPr>
              <w:t xml:space="preserve">2.02×10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1.40 (1.00–1.96)</w:t>
            </w:r>
          </w:p>
        </w:tc>
        <w:tc>
          <w:tcPr/>
          <w:p>
            <w:pPr>
              <w:pStyle w:val="Compact"/>
              <w:spacing w:line="240" w:lineRule="auto" w:after="20" w:before="20"/>
              <w:jc w:val="left"/>
            </w:pPr>
            <w:r>
              <w:rPr>
                <w:rFonts w:ascii="Times New Roman" w:hAnsi="Times New Roman"/>
                <w:sz w:val="18"/>
              </w:rPr>
              <w:t xml:space="preserve">0.0490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MAPKAPK5</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0.977 (0.967–0.987)</w:t>
            </w:r>
          </w:p>
        </w:tc>
        <w:tc>
          <w:tcPr/>
          <w:p>
            <w:pPr>
              <w:pStyle w:val="Compact"/>
              <w:spacing w:line="240" w:lineRule="auto" w:after="20" w:before="20"/>
              <w:jc w:val="left"/>
            </w:pPr>
            <w:r>
              <w:rPr>
                <w:rFonts w:ascii="Times New Roman" w:hAnsi="Times New Roman"/>
                <w:sz w:val="18"/>
              </w:rPr>
              <w:t xml:space="preserve">5.28×10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0.990 (0.929–1.055)</w:t>
            </w:r>
          </w:p>
        </w:tc>
        <w:tc>
          <w:tcPr/>
          <w:p>
            <w:pPr>
              <w:pStyle w:val="Compact"/>
              <w:spacing w:line="240" w:lineRule="auto" w:after="20" w:before="20"/>
              <w:jc w:val="left"/>
            </w:pPr>
            <w:r>
              <w:rPr>
                <w:rFonts w:ascii="Times New Roman" w:hAnsi="Times New Roman"/>
                <w:sz w:val="18"/>
              </w:rPr>
              <w:t xml:space="preserve">0.751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0.041</w:t>
            </w:r>
          </w:p>
        </w:tc>
      </w:tr>
      <w:tr>
        <w:trPr>
          <w:cantSplit/>
        </w:trPr>
        <w:tc>
          <w:tcPr/>
          <w:p>
            <w:pPr>
              <w:pStyle w:val="Compact"/>
              <w:spacing w:line="240" w:lineRule="auto" w:after="20" w:before="20"/>
              <w:jc w:val="left"/>
            </w:pPr>
            <w:r>
              <w:rPr>
                <w:iCs/>
                <w:rFonts w:ascii="Times New Roman" w:hAnsi="Times New Roman"/>
                <w:i/>
                <w:sz w:val="18"/>
              </w:rPr>
              <w:t xml:space="preserve">PSMB8</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1.25 (1.13–1.38)</w:t>
            </w:r>
          </w:p>
        </w:tc>
        <w:tc>
          <w:tcPr/>
          <w:p>
            <w:pPr>
              <w:pStyle w:val="Compact"/>
              <w:spacing w:line="240" w:lineRule="auto" w:after="20" w:before="20"/>
              <w:jc w:val="left"/>
            </w:pPr>
            <w:r>
              <w:rPr>
                <w:rFonts w:ascii="Times New Roman" w:hAnsi="Times New Roman"/>
                <w:sz w:val="18"/>
              </w:rPr>
              <w:t xml:space="preserve">6.86×10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0.96 (0.85–1.08)</w:t>
            </w:r>
          </w:p>
        </w:tc>
        <w:tc>
          <w:tcPr/>
          <w:p>
            <w:pPr>
              <w:pStyle w:val="Compact"/>
              <w:spacing w:line="240" w:lineRule="auto" w:after="20" w:before="20"/>
              <w:jc w:val="left"/>
            </w:pPr>
            <w:r>
              <w:rPr>
                <w:rFonts w:ascii="Times New Roman" w:hAnsi="Times New Roman"/>
                <w:sz w:val="18"/>
              </w:rPr>
              <w:t xml:space="preserve">0.512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IFNGR1</w:t>
            </w:r>
          </w:p>
        </w:tc>
        <w:tc>
          <w:tcPr/>
          <w:p>
            <w:pPr>
              <w:pStyle w:val="Compact"/>
              <w:spacing w:line="240" w:lineRule="auto" w:after="20" w:before="20"/>
              <w:jc w:val="left"/>
            </w:pPr>
            <w:r>
              <w:rPr>
                <w:rFonts w:ascii="Times New Roman" w:hAnsi="Times New Roman"/>
                <w:sz w:val="18"/>
              </w:rPr>
              <w:t xml:space="preserve">6</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2.10 (1.51–2.91)</w:t>
            </w:r>
          </w:p>
        </w:tc>
        <w:tc>
          <w:tcPr/>
          <w:p>
            <w:pPr>
              <w:pStyle w:val="Compact"/>
              <w:spacing w:line="240" w:lineRule="auto" w:after="20" w:before="20"/>
              <w:jc w:val="left"/>
            </w:pPr>
            <w:r>
              <w:rPr>
                <w:rFonts w:ascii="Times New Roman" w:hAnsi="Times New Roman"/>
                <w:sz w:val="18"/>
              </w:rPr>
              <w:t xml:space="preserve">9.41×10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1.62 (1.18–2.24)</w:t>
            </w:r>
          </w:p>
        </w:tc>
        <w:tc>
          <w:tcPr/>
          <w:p>
            <w:pPr>
              <w:pStyle w:val="Compact"/>
              <w:spacing w:line="240" w:lineRule="auto" w:after="20" w:before="20"/>
              <w:jc w:val="left"/>
            </w:pPr>
            <w:r>
              <w:rPr>
                <w:rFonts w:ascii="Times New Roman" w:hAnsi="Times New Roman"/>
                <w:sz w:val="18"/>
              </w:rPr>
              <w:t xml:space="preserve">0.00330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0.313</w:t>
            </w:r>
          </w:p>
        </w:tc>
      </w:tr>
    </w:tbl>
    <w:p>
      <w:pPr>
        <w:pStyle w:val="BodyText"/>
        <w:spacing w:line="264" w:lineRule="auto" w:after="120"/>
      </w:pPr>
      <w:r>
        <w:rPr>
          <w:color w:val="000000"/>
          <w:sz w:val="18"/>
        </w:rPr>
        <w:t xml:space="preserve">Genes passed the BBJ screen threshold (</w:t>
      </w:r>
      <w:r>
        <w:rPr>
          <w:iCs/>
          <w:i/>
          <w:color w:val="000000"/>
          <w:sz w:val="18"/>
        </w:rPr>
        <w:t xml:space="preserve">P</w:t>
      </w:r>
      <w:r>
        <w:rPr>
          <w:color w:val="000000"/>
          <w:sz w:val="18"/>
        </w:rPr>
        <w:t xml:space="preserve"> </w:t>
      </w:r>
      <w:r>
        <w:rPr>
          <w:color w:val="000000"/>
          <w:sz w:val="18"/>
        </w:rPr>
        <w:t xml:space="preserve">&lt; 0.05/2,544) and are listed by BBJ</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Focused support in FinnGen GD requires the same direction and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0.05/13; 7 of 13 qualify. IVs are counted separately for each dataset because instrument availability differs. The five MHC genes and the three chromosome 16p11.2 genes are not independent signals; the latter are compatible with one regional association.</w:t>
      </w:r>
      <w:r>
        <w:rPr>
          <w:color w:val="000000"/>
          <w:sz w:val="18"/>
        </w:rPr>
        <w:t xml:space="preserve"> </w:t>
      </w:r>
      <w:r>
        <w:rPr>
          <w:iCs/>
          <w:i/>
          <w:color w:val="000000"/>
          <w:sz w:val="18"/>
        </w:rPr>
        <w:t xml:space="preserve">MAPKAPK5</w:t>
      </w:r>
      <w:r>
        <w:rPr>
          <w:color w:val="000000"/>
          <w:sz w:val="18"/>
        </w:rPr>
        <w:t xml:space="preserve"> </w:t>
      </w:r>
      <w:r>
        <w:rPr>
          <w:color w:val="000000"/>
          <w:sz w:val="18"/>
        </w:rPr>
        <w:t xml:space="preserve">is shown to three decimals to preserve its small effect. NA, not estimable (no retained instrument), not a negative result;</w:t>
      </w:r>
      <w:r>
        <w:rPr>
          <w:color w:val="000000"/>
          <w:sz w:val="18"/>
        </w:rPr>
        <w:t xml:space="preserve"> </w:t>
      </w:r>
      <w:r>
        <w:rPr>
          <w:iCs/>
          <w:i/>
          <w:color w:val="000000"/>
          <w:sz w:val="18"/>
        </w:rPr>
        <w:t xml:space="preserve">VKORC1</w:t>
      </w:r>
      <w:r>
        <w:rPr>
          <w:color w:val="000000"/>
          <w:sz w:val="18"/>
        </w:rPr>
        <w:t xml:space="preserve"> </w:t>
      </w:r>
      <w:r>
        <w:rPr>
          <w:color w:val="000000"/>
          <w:sz w:val="18"/>
        </w:rPr>
        <w:t xml:space="preserve">colocalization does not require an MR instrument. PP.H4, shared-variant posterior probability under p12 = 10</w:t>
      </w:r>
      <w:r>
        <w:rPr>
          <w:color w:val="000000"/>
          <w:sz w:val="18"/>
          <w:vertAlign w:val="superscript"/>
        </w:rPr>
        <w:t xml:space="preserve">−5</w:t>
      </w:r>
      <w:r>
        <w:rPr>
          <w:color w:val="000000"/>
          <w:sz w:val="18"/>
        </w:rPr>
        <w:t xml:space="preserve">; bold, ≥0.80. Chr, chromosome of the strongest instrument; MHC, major histocompatibility complex; CI, confidence interval; IV, instrumental variable; OR, odds ratio; BBJ, Biobank Japan; FinnGen GD, E4_GRAVES_STRICT; GD, Graves disease; GO, Graves ophthalmopathy; UKB, UK Biobank.</w:t>
      </w:r>
    </w:p>
    <w:bookmarkEnd w:id="22"/>
    <w:sectPr>
      <w:footerReference w:type="default" r:id="rId9"/>
      <w:pgSz w:orient="landscape" w:w="16834" w:h="11909"/>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80"/>
    </w:pPr>
    <w:rPr>
      <w:rFonts w:ascii="Times New Roman" w:hAnsi="Times New Roman" w:eastAsia="Times New Roman" w:cs="Times New Roman"/>
      <w:sz w:val="20"/>
    </w:rPr>
  </w:style>
  <w:style w:styleId="BodyText" w:type="paragraph">
    <w:name w:val="Body Text"/>
    <w:basedOn w:val="Normal"/>
    <w:link w:val="BodyTextChar"/>
    <w:pPr>
      <w:spacing w:after="80" w:before="180" w:line="264" w:lineRule="auto"/>
    </w:pPr>
    <w:qFormat/>
    <w:rPr>
      <w:rFonts w:ascii="Times New Roman" w:hAnsi="Times New Roman" w:eastAsia="Times New Roman" w:cs="Times New Roman"/>
      <w:sz w:val="20"/>
    </w:rPr>
  </w:style>
  <w:style w:customStyle="1" w:styleId="FirstParagraph" w:type="paragraph">
    <w:name w:val="First Paragraph"/>
    <w:basedOn w:val="BodyText"/>
    <w:next w:val="BodyText"/>
    <w:qFormat/>
    <w:pPr>
      <w:spacing w:line="264" w:lineRule="auto" w:after="80"/>
    </w:pPr>
    <w:rPr>
      <w:rFonts w:ascii="Times New Roman" w:hAnsi="Times New Roman" w:eastAsia="Times New Roman" w:cs="Times New Roman"/>
      <w:sz w:val="20"/>
    </w:rPr>
  </w:style>
  <w:style w:customStyle="1" w:styleId="Compact" w:type="paragraph">
    <w:name w:val="Compact"/>
    <w:basedOn w:val="BodyText"/>
    <w:qFormat/>
    <w:pPr>
      <w:spacing w:after="80" w:before="36" w:line="264" w:lineRule="auto"/>
    </w:pPr>
    <w:rPr>
      <w:rFonts w:ascii="Times New Roman" w:hAnsi="Times New Roman" w:eastAsia="Times New Roman" w:cs="Times New Roman"/>
      <w:sz w:val="20"/>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64" w:lineRule="auto"/>
      <w:ind w:firstLine="0" w:left="480" w:right="480"/>
    </w:pPr>
    <w:rPr>
      <w:rFonts w:ascii="Times New Roman" w:hAnsi="Times New Roman" w:eastAsia="Times New Roman" w:cs="Times New Roman"/>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64" w:lineRule="auto" w:after="80"/>
    </w:pPr>
    <w:rPr>
      <w:rFonts w:ascii="Times New Roman" w:hAnsi="Times New Roman" w:eastAsia="Times New Roman" w:cs="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tables</dc:title>
  <dc:creator>Jungyul Park; Min-Seon Kim; Kyung-Hwa Shin; Suk-Woo Yang</dc:creator>
  <cp:keywords/>
  <dcterms:created xsi:type="dcterms:W3CDTF">2026-10-14T15:53:15Z</dcterms:created>
  <dcterms:modified xsi:type="dcterms:W3CDTF">2026-10-14T15:53:15Z</dcterms:modified>
  <cp:lastModifiedBy/>
  <dc:description/>
</cp:coreProperties>
</file>

<file path=docProps/custom.xml><?xml version="1.0" encoding="utf-8"?>
<Properties xmlns="http://schemas.openxmlformats.org/officeDocument/2006/custom-properties" xmlns:vt="http://schemas.openxmlformats.org/officeDocument/2006/docPropsVTypes"/>
</file>