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strict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w:t>
      </w:r>
      <w:r>
        <w:rPr>
          <w:color w:val="000000"/>
          <w:vertAlign w:val="superscript"/>
        </w:rPr>
        <w:t xml:space="preserve">−5</w:t>
      </w:r>
      <w:r>
        <w:rPr>
          <w:color w:val="000000"/>
        </w:rPr>
        <w:t xml:space="preserve">),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and repeated analyses at p12 =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All planned combinations are reported in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2,544 instrumented genes, 2,234 were estimable in BBJ, 2,505 in UKB and 2,480 in each FinnGen endpoint. Unavailable estimates were not counted as negative findings. Thirteen genes met the BBJ discovery threshold (Figure 1):</w:t>
      </w:r>
      <w:r>
        <w:rPr>
          <w:color w:val="000000"/>
        </w:rPr>
        <w:t xml:space="preserve"> </w:t>
      </w:r>
      <w:r>
        <w:rPr>
          <w:iCs/>
          <w:i/>
          <w:color w:val="000000"/>
        </w:rPr>
        <w:t xml:space="preserve">HLA-A</w:t>
      </w:r>
      <w:r>
        <w:rPr>
          <w:color w:val="000000"/>
        </w:rPr>
        <w:t xml:space="preserve">,</w:t>
      </w:r>
      <w:r>
        <w:rPr>
          <w:color w:val="000000"/>
        </w:rPr>
        <w:t xml:space="preserve"> </w:t>
      </w:r>
      <w:r>
        <w:rPr>
          <w:iCs/>
          <w:i/>
          <w:color w:val="000000"/>
        </w:rPr>
        <w:t xml:space="preserve">HLA-DQA2</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HSD3B7</w:t>
      </w:r>
      <w:r>
        <w:rPr>
          <w:color w:val="000000"/>
        </w:rPr>
        <w:t xml:space="preserve">,</w:t>
      </w:r>
      <w:r>
        <w:rPr>
          <w:color w:val="000000"/>
        </w:rPr>
        <w:t xml:space="preserve"> </w:t>
      </w:r>
      <w:r>
        <w:rPr>
          <w:iCs/>
          <w:i/>
          <w:color w:val="000000"/>
        </w:rPr>
        <w:t xml:space="preserve">TUBB</w:t>
      </w:r>
      <w:r>
        <w:rPr>
          <w:color w:val="000000"/>
        </w:rPr>
        <w:t xml:space="preserve">,</w:t>
      </w:r>
      <w:r>
        <w:rPr>
          <w:color w:val="000000"/>
        </w:rPr>
        <w:t xml:space="preserve"> </w:t>
      </w:r>
      <w:r>
        <w:rPr>
          <w:iCs/>
          <w:i/>
          <w:color w:val="000000"/>
        </w:rPr>
        <w:t xml:space="preserve">VKORC1</w:t>
      </w:r>
      <w:r>
        <w:rPr>
          <w:color w:val="000000"/>
        </w:rPr>
        <w:t xml:space="preserve">,</w:t>
      </w:r>
      <w:r>
        <w:rPr>
          <w:color w:val="000000"/>
        </w:rPr>
        <w:t xml:space="preserve"> </w:t>
      </w:r>
      <w:r>
        <w:rPr>
          <w:iCs/>
          <w:i/>
          <w:color w:val="000000"/>
        </w:rPr>
        <w:t xml:space="preserve">TNFSF14</w:t>
      </w:r>
      <w:r>
        <w:rPr>
          <w:color w:val="000000"/>
        </w:rPr>
        <w:t xml:space="preserve">,</w:t>
      </w:r>
      <w:r>
        <w:rPr>
          <w:color w:val="000000"/>
        </w:rPr>
        <w:t xml:space="preserve"> </w:t>
      </w:r>
      <w:r>
        <w:rPr>
          <w:iCs/>
          <w:i/>
          <w:color w:val="000000"/>
        </w:rPr>
        <w:t xml:space="preserve">PRSS36</w:t>
      </w:r>
      <w:r>
        <w:rPr>
          <w:color w:val="000000"/>
        </w:rPr>
        <w:t xml:space="preserve">,</w:t>
      </w:r>
      <w:r>
        <w:rPr>
          <w:color w:val="000000"/>
        </w:rPr>
        <w:t xml:space="preserve"> </w:t>
      </w:r>
      <w:r>
        <w:rPr>
          <w:iCs/>
          <w:i/>
          <w:color w:val="000000"/>
        </w:rPr>
        <w:t xml:space="preserve">MAPKAPK5</w:t>
      </w:r>
      <w:r>
        <w:rPr>
          <w:color w:val="000000"/>
        </w:rPr>
        <w:t xml:space="preserve">,</w:t>
      </w:r>
      <w:r>
        <w:rPr>
          <w:color w:val="000000"/>
        </w:rPr>
        <w:t xml:space="preserve"> </w:t>
      </w:r>
      <w:r>
        <w:rPr>
          <w:iCs/>
          <w:i/>
          <w:color w:val="000000"/>
        </w:rPr>
        <w:t xml:space="preserve">PSMB8</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At the discovery threshold, 14.6% and 35.6% of estimable BBJ genes had 80% power to detect ORs of 1.5 and 2.0 under a normal-approximation benchmark; the corresponding FinnGen GD proportions were 24.8% and 52.2% (BBJ: Supplementary Dataset, Detection_original; FinnGen GD: Supplementary Methods).</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BBJ GD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The same direction was observed for UKB hyperthyroidism (OR 0.09, 95% CI 0.06–0.14;</w:t>
      </w:r>
      <w:r>
        <w:rPr>
          <w:color w:val="000000"/>
        </w:rPr>
        <w:t xml:space="preserve"> </w:t>
      </w:r>
      <w:r>
        <w:rPr>
          <w:iCs/>
          <w:i/>
          <w:color w:val="000000"/>
        </w:rPr>
        <w:t xml:space="preserve">P</w:t>
      </w:r>
      <w:r>
        <w:rPr>
          <w:color w:val="000000"/>
        </w:rPr>
        <w:t xml:space="preserve"> </w:t>
      </w:r>
      <w:r>
        <w:rPr>
          <w:color w:val="000000"/>
        </w:rPr>
        <w:t xml:space="preserve">= 8.77×10</w:t>
      </w:r>
      <w:r>
        <w:rPr>
          <w:color w:val="000000"/>
          <w:vertAlign w:val="superscript"/>
        </w:rPr>
        <w:t xml:space="preserve">−28</w:t>
      </w:r>
      <w:r>
        <w:rPr>
          <w:color w:val="000000"/>
        </w:rPr>
        <w:t xml:space="preserve">), FinnGen ophthalmopathy (OR 0.10, 95% CI 0.04–0.24;</w:t>
      </w:r>
      <w:r>
        <w:rPr>
          <w:color w:val="000000"/>
        </w:rPr>
        <w:t xml:space="preserve"> </w:t>
      </w:r>
      <w:r>
        <w:rPr>
          <w:iCs/>
          <w:i/>
          <w:color w:val="000000"/>
        </w:rPr>
        <w:t xml:space="preserve">P</w:t>
      </w:r>
      <w:r>
        <w:rPr>
          <w:color w:val="000000"/>
        </w:rPr>
        <w:t xml:space="preserve"> </w:t>
      </w:r>
      <w:r>
        <w:rPr>
          <w:color w:val="000000"/>
        </w:rPr>
        <w:t xml:space="preserve">= 2.82×10</w:t>
      </w:r>
      <w:r>
        <w:rPr>
          <w:color w:val="000000"/>
          <w:vertAlign w:val="superscript"/>
        </w:rPr>
        <w:t xml:space="preserve">−7</w:t>
      </w:r>
      <w:r>
        <w:rPr>
          <w:color w:val="000000"/>
        </w:rPr>
        <w:t xml:space="preserve">) and strict ophthalmopathy (OR 0.15, 95% CI 0.06–0.39;</w:t>
      </w:r>
      <w:r>
        <w:rPr>
          <w:color w:val="000000"/>
        </w:rPr>
        <w:t xml:space="preserve"> </w:t>
      </w:r>
      <w:r>
        <w:rPr>
          <w:iCs/>
          <w:i/>
          <w:color w:val="000000"/>
        </w:rPr>
        <w:t xml:space="preserve">P</w:t>
      </w:r>
      <w:r>
        <w:rPr>
          <w:color w:val="000000"/>
        </w:rPr>
        <w:t xml:space="preserve"> </w:t>
      </w:r>
      <w:r>
        <w:rPr>
          <w:color w:val="000000"/>
        </w:rPr>
        <w:t xml:space="preserve">= 9.02×10</w:t>
      </w:r>
      <w:r>
        <w:rPr>
          <w:color w:val="000000"/>
          <w:vertAlign w:val="superscript"/>
        </w:rPr>
        <w:t xml:space="preserve">−5</w:t>
      </w:r>
      <w:r>
        <w:rPr>
          <w:color w:val="000000"/>
        </w:rPr>
        <w:t xml:space="preserve">). All five estimates used rs179252 as the single instrument (Table 2; Figure 2). Only the strict ophthalmopathy estimate missed the full-screen threshold (1.965×10</w:t>
      </w:r>
      <w:r>
        <w:rPr>
          <w:color w:val="000000"/>
          <w:vertAlign w:val="superscript"/>
        </w:rPr>
        <w:t xml:space="preserve">−5</w:t>
      </w:r>
      <w:r>
        <w:rPr>
          <w:color w:val="000000"/>
        </w:rPr>
        <w:t xml:space="preserve">).</w:t>
      </w:r>
    </w:p>
    <w:p>
      <w:pPr>
        <w:pStyle w:val="BodyText"/>
      </w:pPr>
      <w:r>
        <w:rPr>
          <w:color w:val="000000"/>
        </w:rPr>
        <w:t xml:space="preserve">The expression-increasing rs179252-G allele was associated with lower odds in all five disease datasets (per-allele ORs 0.77–0.82) and was positively correlated with rs179247-G in European (r = 0.978; n = 503) and East Asian (r = 0.996; n = 504) reference samples. The latter allele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original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but no association met the full-screen threshold.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reached nominal significance, meaning uncorrected</w:t>
      </w:r>
      <w:r>
        <w:rPr>
          <w:color w:val="000000"/>
        </w:rPr>
        <w:t xml:space="preserve"> </w:t>
      </w:r>
      <w:r>
        <w:rPr>
          <w:iCs/>
          <w:i/>
          <w:color w:val="000000"/>
        </w:rPr>
        <w:t xml:space="preserve">P</w:t>
      </w:r>
      <w:r>
        <w:rPr>
          <w:color w:val="000000"/>
        </w:rPr>
        <w:t xml:space="preserve"> </w:t>
      </w:r>
      <w:r>
        <w:rPr>
          <w:color w:val="000000"/>
        </w:rPr>
        <w:t xml:space="preserve">&lt; 0.05. The FinnGen estimates did not: GD OR 1.07 (95% CI 0.86–1.33;</w:t>
      </w:r>
      <w:r>
        <w:rPr>
          <w:color w:val="000000"/>
        </w:rPr>
        <w:t xml:space="preserve"> </w:t>
      </w:r>
      <w:r>
        <w:rPr>
          <w:iCs/>
          <w:i/>
          <w:color w:val="000000"/>
        </w:rPr>
        <w:t xml:space="preserve">P</w:t>
      </w:r>
      <w:r>
        <w:rPr>
          <w:color w:val="000000"/>
        </w:rPr>
        <w:t xml:space="preserve"> </w:t>
      </w:r>
      <w:r>
        <w:rPr>
          <w:color w:val="000000"/>
        </w:rPr>
        <w:t xml:space="preserve">= 0.539), ophthalmopathy OR 1.41 (95% CI 0.85–2.33;</w:t>
      </w:r>
      <w:r>
        <w:rPr>
          <w:color w:val="000000"/>
        </w:rPr>
        <w:t xml:space="preserve"> </w:t>
      </w:r>
      <w:r>
        <w:rPr>
          <w:iCs/>
          <w:i/>
          <w:color w:val="000000"/>
        </w:rPr>
        <w:t xml:space="preserve">P</w:t>
      </w:r>
      <w:r>
        <w:rPr>
          <w:color w:val="000000"/>
        </w:rPr>
        <w:t xml:space="preserve"> </w:t>
      </w:r>
      <w:r>
        <w:rPr>
          <w:color w:val="000000"/>
        </w:rPr>
        <w:t xml:space="preserve">= 0.182) and strict ophthalmopathy OR 1.52 (95% CI 0.92–2.49;</w:t>
      </w:r>
      <w:r>
        <w:rPr>
          <w:color w:val="000000"/>
        </w:rPr>
        <w:t xml:space="preserve"> </w:t>
      </w:r>
      <w:r>
        <w:rPr>
          <w:iCs/>
          <w:i/>
          <w:color w:val="000000"/>
        </w:rPr>
        <w:t xml:space="preserve">P</w:t>
      </w:r>
      <w:r>
        <w:rPr>
          <w:color w:val="000000"/>
        </w:rPr>
        <w:t xml:space="preserve"> </w:t>
      </w:r>
      <w:r>
        <w:rPr>
          <w:color w:val="000000"/>
        </w:rPr>
        <w:t xml:space="preserve">= 0.0996). The most precise estimate, FinnGen GD, lay close to the null (80% power to detect OR 1.36 at</w:t>
      </w:r>
      <w:r>
        <w:rPr>
          <w:color w:val="000000"/>
        </w:rPr>
        <w:t xml:space="preserve"> </w:t>
      </w:r>
      <w:r>
        <w:rPr>
          <w:iCs/>
          <w:i/>
          <w:color w:val="000000"/>
        </w:rPr>
        <w:t xml:space="preserve">P</w:t>
      </w:r>
      <w:r>
        <w:rPr>
          <w:color w:val="000000"/>
        </w:rPr>
        <w:t xml:space="preserve"> </w:t>
      </w:r>
      <w:r>
        <w:rPr>
          <w:color w:val="000000"/>
        </w:rPr>
        <w:t xml:space="preserve">&lt; 0.05; Supplementary Methods). Weighted-median ORs resembled the IVW results (BBJ 1.56,</w:t>
      </w:r>
      <w:r>
        <w:rPr>
          <w:color w:val="000000"/>
        </w:rPr>
        <w:t xml:space="preserve"> </w:t>
      </w:r>
      <w:r>
        <w:rPr>
          <w:iCs/>
          <w:i/>
          <w:color w:val="000000"/>
        </w:rPr>
        <w:t xml:space="preserve">P</w:t>
      </w:r>
      <w:r>
        <w:rPr>
          <w:color w:val="000000"/>
        </w:rPr>
        <w:t xml:space="preserve"> </w:t>
      </w:r>
      <w:r>
        <w:rPr>
          <w:color w:val="000000"/>
        </w:rPr>
        <w:t xml:space="preserve">= 0.0288; UKB 1.42,</w:t>
      </w:r>
      <w:r>
        <w:rPr>
          <w:color w:val="000000"/>
        </w:rPr>
        <w:t xml:space="preserve"> </w:t>
      </w:r>
      <w:r>
        <w:rPr>
          <w:iCs/>
          <w:i/>
          <w:color w:val="000000"/>
        </w:rPr>
        <w:t xml:space="preserve">P</w:t>
      </w:r>
      <w:r>
        <w:rPr>
          <w:color w:val="000000"/>
        </w:rPr>
        <w:t xml:space="preserve"> </w:t>
      </w:r>
      <w:r>
        <w:rPr>
          <w:color w:val="000000"/>
        </w:rPr>
        <w:t xml:space="preserve">= 0.00244; FinnGen ophthalmopathy 1.46,</w:t>
      </w:r>
      <w:r>
        <w:rPr>
          <w:color w:val="000000"/>
        </w:rPr>
        <w:t xml:space="preserve"> </w:t>
      </w:r>
      <w:r>
        <w:rPr>
          <w:iCs/>
          <w:i/>
          <w:color w:val="000000"/>
        </w:rPr>
        <w:t xml:space="preserve">P</w:t>
      </w:r>
      <w:r>
        <w:rPr>
          <w:color w:val="000000"/>
        </w:rPr>
        <w:t xml:space="preserve"> </w:t>
      </w:r>
      <w:r>
        <w:rPr>
          <w:color w:val="000000"/>
        </w:rPr>
        <w:t xml:space="preserve">= 0.124), whereas MR-Egger and weighted-mode estimates were imprecise (</w:t>
      </w:r>
      <w:r>
        <w:rPr>
          <w:iCs/>
          <w:i/>
          <w:color w:val="000000"/>
        </w:rPr>
        <w:t xml:space="preserve">P</w:t>
      </w:r>
      <w:r>
        <w:rPr>
          <w:color w:val="000000"/>
        </w:rPr>
        <w:t xml:space="preserve"> </w:t>
      </w:r>
      <w:r>
        <w:rPr>
          <w:color w:val="000000"/>
        </w:rPr>
        <w:t xml:space="preserve">≥ 0.32), and MR-Egger intercepts were non-significant (</w:t>
      </w:r>
      <w:r>
        <w:rPr>
          <w:iCs/>
          <w:i/>
          <w:color w:val="000000"/>
        </w:rPr>
        <w:t xml:space="preserve">P</w:t>
      </w:r>
      <w:r>
        <w:rPr>
          <w:color w:val="000000"/>
        </w:rPr>
        <w:t xml:space="preserve"> </w:t>
      </w:r>
      <w:r>
        <w:rPr>
          <w:color w:val="000000"/>
        </w:rPr>
        <w:t xml:space="preserve">= 0.66, 0.56 and 0.43 in BBJ, UKB and FinnGen ophthalmopathy), although these tests have little power with three or four instruments (Supplementary Dataset, MR_estimators_original). Non-significant FinnGen estimates do not establish absence of an association.</w:t>
      </w:r>
    </w:p>
    <w:bookmarkEnd w:id="29"/>
    <w:bookmarkStart w:id="30" w:name="other-associated-genes"/>
    <w:p>
      <w:pPr>
        <w:pStyle w:val="Heading3"/>
      </w:pPr>
      <w:r>
        <w:rPr>
          <w:color w:val="000000"/>
        </w:rPr>
        <w:t xml:space="preserve">Other associated genes</w:t>
      </w:r>
    </w:p>
    <w:p>
      <w:pPr>
        <w:pStyle w:val="FirstParagraph"/>
      </w:pPr>
      <w:r>
        <w:rPr>
          <w:color w:val="000000"/>
        </w:rPr>
        <w:t xml:space="preserve">Four genes passed the full-screen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 In FinnGen GD,</w:t>
      </w:r>
      <w:r>
        <w:rPr>
          <w:color w:val="000000"/>
        </w:rPr>
        <w:t xml:space="preserve"> </w:t>
      </w:r>
      <w:r>
        <w:rPr>
          <w:iCs/>
          <w:i/>
          <w:color w:val="000000"/>
        </w:rPr>
        <w:t xml:space="preserve">CTLA4</w:t>
      </w:r>
      <w:r>
        <w:rPr>
          <w:color w:val="000000"/>
        </w:rPr>
        <w:t xml:space="preserve"> </w:t>
      </w:r>
      <w:r>
        <w:rPr>
          <w:color w:val="000000"/>
        </w:rPr>
        <w:t xml:space="preserve">was associated with lower odds (OR 0.17, 95% CI 0.08–0.36;</w:t>
      </w:r>
      <w:r>
        <w:rPr>
          <w:color w:val="000000"/>
        </w:rPr>
        <w:t xml:space="preserve"> </w:t>
      </w:r>
      <w:r>
        <w:rPr>
          <w:iCs/>
          <w:i/>
          <w:color w:val="000000"/>
        </w:rPr>
        <w:t xml:space="preserve">P</w:t>
      </w:r>
      <w:r>
        <w:rPr>
          <w:color w:val="000000"/>
        </w:rPr>
        <w:t xml:space="preserve"> </w:t>
      </w:r>
      <w:r>
        <w:rPr>
          <w:color w:val="000000"/>
        </w:rPr>
        <w:t xml:space="preserve">= 2.15×10</w:t>
      </w:r>
      <w:r>
        <w:rPr>
          <w:color w:val="000000"/>
          <w:vertAlign w:val="superscript"/>
        </w:rPr>
        <w:t xml:space="preserve">−6</w:t>
      </w:r>
      <w:r>
        <w:rPr>
          <w:color w:val="000000"/>
        </w:rPr>
        <w:t xml:space="preserve">), whereas</w:t>
      </w:r>
      <w:r>
        <w:rPr>
          <w:color w:val="000000"/>
        </w:rPr>
        <w:t xml:space="preserve"> </w:t>
      </w:r>
      <w:r>
        <w:rPr>
          <w:iCs/>
          <w:i/>
          <w:color w:val="000000"/>
        </w:rPr>
        <w:t xml:space="preserve">HLA-DQA2</w:t>
      </w:r>
      <w:r>
        <w:rPr>
          <w:color w:val="000000"/>
        </w:rPr>
        <w:t xml:space="preserve"> </w:t>
      </w:r>
      <w:r>
        <w:rPr>
          <w:color w:val="000000"/>
        </w:rPr>
        <w:t xml:space="preserve">(OR 1.90, 95% CI 1.64–2.20;</w:t>
      </w:r>
      <w:r>
        <w:rPr>
          <w:color w:val="000000"/>
        </w:rPr>
        <w:t xml:space="preserve"> </w:t>
      </w:r>
      <w:r>
        <w:rPr>
          <w:iCs/>
          <w:i/>
          <w:color w:val="000000"/>
        </w:rPr>
        <w:t xml:space="preserve">P</w:t>
      </w:r>
      <w:r>
        <w:rPr>
          <w:color w:val="000000"/>
        </w:rPr>
        <w:t xml:space="preserve"> </w:t>
      </w:r>
      <w:r>
        <w:rPr>
          <w:color w:val="000000"/>
        </w:rPr>
        <w:t xml:space="preserve">= 1.41×10</w:t>
      </w:r>
      <w:r>
        <w:rPr>
          <w:color w:val="000000"/>
          <w:vertAlign w:val="superscript"/>
        </w:rPr>
        <w:t xml:space="preserve">−17</w:t>
      </w:r>
      <w:r>
        <w:rPr>
          <w:color w:val="000000"/>
        </w:rPr>
        <w:t xml:space="preserve">) and</w:t>
      </w:r>
      <w:r>
        <w:rPr>
          <w:color w:val="000000"/>
        </w:rPr>
        <w:t xml:space="preserve"> </w:t>
      </w:r>
      <w:r>
        <w:rPr>
          <w:iCs/>
          <w:i/>
          <w:color w:val="000000"/>
        </w:rPr>
        <w:t xml:space="preserve">TUBB</w:t>
      </w:r>
      <w:r>
        <w:rPr>
          <w:color w:val="000000"/>
        </w:rPr>
        <w:t xml:space="preserve"> </w:t>
      </w:r>
      <w:r>
        <w:rPr>
          <w:color w:val="000000"/>
        </w:rPr>
        <w:t xml:space="preserve">(OR 3.28, 95% CI 2.09–5.17;</w:t>
      </w:r>
      <w:r>
        <w:rPr>
          <w:color w:val="000000"/>
        </w:rPr>
        <w:t xml:space="preserve"> </w:t>
      </w:r>
      <w:r>
        <w:rPr>
          <w:iCs/>
          <w:i/>
          <w:color w:val="000000"/>
        </w:rPr>
        <w:t xml:space="preserve">P</w:t>
      </w:r>
      <w:r>
        <w:rPr>
          <w:color w:val="000000"/>
        </w:rPr>
        <w:t xml:space="preserve"> </w:t>
      </w:r>
      <w:r>
        <w:rPr>
          <w:color w:val="000000"/>
        </w:rPr>
        <w:t xml:space="preserve">= 2.68×10</w:t>
      </w:r>
      <w:r>
        <w:rPr>
          <w:color w:val="000000"/>
          <w:vertAlign w:val="superscript"/>
        </w:rPr>
        <w:t xml:space="preserve">−7</w:t>
      </w:r>
      <w:r>
        <w:rPr>
          <w:color w:val="000000"/>
        </w:rPr>
        <w:t xml:space="preserve">) were associated with higher odds.</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lie in the major histocompatibility complex (MHC) region.</w:t>
      </w:r>
      <w:r>
        <w:rPr>
          <w:color w:val="000000"/>
        </w:rPr>
        <w:t xml:space="preserve"> </w:t>
      </w:r>
      <w:r>
        <w:rPr>
          <w:iCs/>
          <w:i/>
          <w:color w:val="000000"/>
        </w:rPr>
        <w:t xml:space="preserve">CTLA4</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across all five datasets.</w:t>
      </w:r>
      <w:r>
        <w:rPr>
          <w:color w:val="000000"/>
        </w:rPr>
        <w:t xml:space="preserve"> </w:t>
      </w:r>
      <w:r>
        <w:rPr>
          <w:iCs/>
          <w:i/>
          <w:color w:val="000000"/>
        </w:rPr>
        <w:t xml:space="preserve">HLA-DQA2</w:t>
      </w:r>
      <w:r>
        <w:rPr>
          <w:color w:val="000000"/>
        </w:rPr>
        <w:t xml:space="preserve"> </w:t>
      </w:r>
      <w:r>
        <w:rPr>
          <w:color w:val="000000"/>
        </w:rPr>
        <w:t xml:space="preserve">also showed higher-odds associations in both ophthalmopathy endpoints, but the two-instrument UKB estimate was non-significant and in the opposite direction (Supplementary Dataset, MR_primary).</w:t>
      </w:r>
    </w:p>
    <w:p>
      <w:pPr>
        <w:pStyle w:val="BodyText"/>
      </w:pPr>
      <w:r>
        <w:rPr>
          <w:color w:val="000000"/>
        </w:rPr>
        <w:t xml:space="preserve">Using the focused FinnGen GD threshold of</w:t>
      </w:r>
      <w:r>
        <w:rPr>
          <w:color w:val="000000"/>
        </w:rPr>
        <w:t xml:space="preserve"> </w:t>
      </w:r>
      <w:r>
        <w:rPr>
          <w:iCs/>
          <w:i/>
          <w:color w:val="000000"/>
        </w:rPr>
        <w:t xml:space="preserve">P</w:t>
      </w:r>
      <w:r>
        <w:rPr>
          <w:color w:val="000000"/>
        </w:rPr>
        <w:t xml:space="preserve"> </w:t>
      </w:r>
      <w:r>
        <w:rPr>
          <w:color w:val="000000"/>
        </w:rPr>
        <w:t xml:space="preserve">&lt; 0.05/13 (0.00385), seven of the 13 BBJ discoveries had direction-consistent associations: the four genes above plus</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4.97×10</w:t>
      </w:r>
      <w:r>
        <w:rPr>
          <w:color w:val="000000"/>
          <w:vertAlign w:val="superscript"/>
        </w:rPr>
        <w:t xml:space="preserve">−5</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0.00361) and</w:t>
      </w:r>
      <w:r>
        <w:rPr>
          <w:color w:val="000000"/>
        </w:rPr>
        <w:t xml:space="preserve"> </w:t>
      </w:r>
      <w:r>
        <w:rPr>
          <w:iCs/>
          <w:i/>
          <w:color w:val="000000"/>
        </w:rPr>
        <w:t xml:space="preserve">IFNGR1</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0.00330).</w:t>
      </w:r>
      <w:r>
        <w:rPr>
          <w:color w:val="000000"/>
        </w:rPr>
        <w:t xml:space="preserve"> </w:t>
      </w:r>
      <w:r>
        <w:rPr>
          <w:iCs/>
          <w:i/>
          <w:color w:val="000000"/>
        </w:rPr>
        <w:t xml:space="preserve">VKORC1</w:t>
      </w:r>
      <w:r>
        <w:rPr>
          <w:color w:val="000000"/>
        </w:rPr>
        <w:t xml:space="preserve"> </w:t>
      </w:r>
      <w:r>
        <w:rPr>
          <w:color w:val="000000"/>
        </w:rPr>
        <w:t xml:space="preserve">was not estimable in FinnGen GD; the denominator remained 13. Although</w:t>
      </w:r>
      <w:r>
        <w:rPr>
          <w:color w:val="000000"/>
        </w:rPr>
        <w:t xml:space="preserve"> </w:t>
      </w:r>
      <w:r>
        <w:rPr>
          <w:iCs/>
          <w:i/>
          <w:color w:val="000000"/>
        </w:rPr>
        <w:t xml:space="preserve">HLA-A</w:t>
      </w:r>
      <w:r>
        <w:rPr>
          <w:color w:val="000000"/>
        </w:rPr>
        <w:t xml:space="preserve"> </w:t>
      </w:r>
      <w:r>
        <w:rPr>
          <w:color w:val="000000"/>
        </w:rPr>
        <w:t xml:space="preserve">had the smallest BBJ</w:t>
      </w:r>
      <w:r>
        <w:rPr>
          <w:color w:val="000000"/>
        </w:rPr>
        <w:t xml:space="preserve"> </w:t>
      </w:r>
      <w:r>
        <w:rPr>
          <w:iCs/>
          <w:i/>
          <w:color w:val="000000"/>
        </w:rPr>
        <w:t xml:space="preserve">P</w:t>
      </w:r>
      <w:r>
        <w:rPr>
          <w:color w:val="000000"/>
        </w:rPr>
        <w:t xml:space="preserve"> </w:t>
      </w:r>
      <w:r>
        <w:rPr>
          <w:color w:val="000000"/>
        </w:rPr>
        <w:t xml:space="preserve">value (2.60×10</w:t>
      </w:r>
      <w:r>
        <w:rPr>
          <w:color w:val="000000"/>
          <w:vertAlign w:val="superscript"/>
        </w:rPr>
        <w:t xml:space="preserve">−23</w:t>
      </w:r>
      <w:r>
        <w:rPr>
          <w:color w:val="000000"/>
        </w:rPr>
        <w:t xml:space="preserve">), its FinnGen GD association was non-significant (</w:t>
      </w:r>
      <w:r>
        <w:rPr>
          <w:iCs/>
          <w:i/>
          <w:color w:val="000000"/>
        </w:rPr>
        <w:t xml:space="preserve">P</w:t>
      </w:r>
      <w:r>
        <w:rPr>
          <w:color w:val="000000"/>
        </w:rPr>
        <w:t xml:space="preserve"> </w:t>
      </w:r>
      <w:r>
        <w:rPr>
          <w:color w:val="000000"/>
        </w:rPr>
        <w:t xml:space="preserve">= 0.648).</w:t>
      </w:r>
    </w:p>
    <w:p>
      <w:pPr>
        <w:pStyle w:val="BodyText"/>
      </w:pPr>
      <w:r>
        <w:rPr>
          <w:color w:val="000000"/>
        </w:rPr>
        <w:t xml:space="preserve">The exploratory full FinnGen GD screen identified 13 genes, nine outside the BBJ discovery set:</w:t>
      </w:r>
      <w:r>
        <w:rPr>
          <w:color w:val="000000"/>
        </w:rPr>
        <w:t xml:space="preserv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IGLV2-18</w:t>
      </w:r>
      <w:r>
        <w:rPr>
          <w:color w:val="000000"/>
        </w:rPr>
        <w:t xml:space="preserve">,</w:t>
      </w:r>
      <w:r>
        <w:rPr>
          <w:color w:val="000000"/>
        </w:rPr>
        <w:t xml:space="preserve"> </w:t>
      </w:r>
      <w:r>
        <w:rPr>
          <w:iCs/>
          <w:i/>
          <w:color w:val="000000"/>
        </w:rPr>
        <w:t xml:space="preserve">IGLV3-12</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t>
      </w:r>
      <w:r>
        <w:rPr>
          <w:color w:val="000000"/>
        </w:rPr>
        <w:t xml:space="preserve">(Table S1). Two gene pairs each shared one instrument (</w:t>
      </w:r>
      <w:r>
        <w:rPr>
          <w:iCs/>
          <w:i/>
          <w:color w:val="000000"/>
        </w:rPr>
        <w:t xml:space="preserve">APOM</w:t>
      </w:r>
      <w:r>
        <w:rPr>
          <w:color w:val="000000"/>
        </w:rPr>
        <w:t xml:space="preserve"> </w:t>
      </w:r>
      <w:r>
        <w:rPr>
          <w:color w:val="000000"/>
        </w:rPr>
        <w:t xml:space="preserve">and</w:t>
      </w:r>
      <w:r>
        <w:rPr>
          <w:color w:val="000000"/>
        </w:rPr>
        <w:t xml:space="preserve"> </w:t>
      </w:r>
      <w:r>
        <w:rPr>
          <w:iCs/>
          <w:i/>
          <w:color w:val="000000"/>
        </w:rPr>
        <w:t xml:space="preserve">NEU1</w:t>
      </w:r>
      <w:r>
        <w:rPr>
          <w:color w:val="000000"/>
        </w:rPr>
        <w:t xml:space="preserve">, rs3101018;</w:t>
      </w:r>
      <w:r>
        <w:rPr>
          <w:color w:val="000000"/>
        </w:rPr>
        <w:t xml:space="preserve"> </w:t>
      </w:r>
      <w:r>
        <w:rPr>
          <w:iCs/>
          <w:i/>
          <w:color w:val="000000"/>
        </w:rPr>
        <w:t xml:space="preserve">IGLV2-18</w:t>
      </w:r>
      <w:r>
        <w:rPr>
          <w:color w:val="000000"/>
        </w:rPr>
        <w:t xml:space="preserve"> </w:t>
      </w:r>
      <w:r>
        <w:rPr>
          <w:color w:val="000000"/>
        </w:rPr>
        <w:t xml:space="preserve">and</w:t>
      </w:r>
      <w:r>
        <w:rPr>
          <w:color w:val="000000"/>
        </w:rPr>
        <w:t xml:space="preserve"> </w:t>
      </w:r>
      <w:r>
        <w:rPr>
          <w:iCs/>
          <w:i/>
          <w:color w:val="000000"/>
        </w:rPr>
        <w:t xml:space="preserve">IGLV3-12</w:t>
      </w:r>
      <w:r>
        <w:rPr>
          <w:color w:val="000000"/>
        </w:rPr>
        <w:t xml:space="preserve">, rs5759410) and are not independent findings. All but the two</w:t>
      </w:r>
      <w:r>
        <w:rPr>
          <w:color w:val="000000"/>
        </w:rPr>
        <w:t xml:space="preserve"> </w:t>
      </w:r>
      <w:r>
        <w:rPr>
          <w:iCs/>
          <w:i/>
          <w:color w:val="000000"/>
        </w:rPr>
        <w:t xml:space="preserve">IGLV</w:t>
      </w:r>
      <w:r>
        <w:rPr>
          <w:color w:val="000000"/>
        </w:rPr>
        <w:t xml:space="preserve"> </w:t>
      </w:r>
      <w:r>
        <w:rPr>
          <w:color w:val="000000"/>
        </w:rPr>
        <w:t xml:space="preserve">genes were instrumented within the extended MHC region on chromosome 6, which was not excluded from the screen.</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The two-instrument</w:t>
      </w:r>
      <w:r>
        <w:rPr>
          <w:color w:val="000000"/>
        </w:rPr>
        <w:t xml:space="preserve"> </w:t>
      </w:r>
      <w:r>
        <w:rPr>
          <w:iCs/>
          <w:i/>
          <w:color w:val="000000"/>
        </w:rPr>
        <w:t xml:space="preserve">CTLA4</w:t>
      </w:r>
      <w:r>
        <w:rPr>
          <w:color w:val="000000"/>
        </w:rPr>
        <w:t xml:space="preserve"> </w:t>
      </w:r>
      <w:r>
        <w:rPr>
          <w:color w:val="000000"/>
        </w:rPr>
        <w:t xml:space="preserve">estimates depended largely on rs13030124. Omitting it left imprecise estimates in UKB and all three FinnGen endpoints (</w:t>
      </w:r>
      <w:r>
        <w:rPr>
          <w:iCs/>
          <w:i/>
          <w:color w:val="000000"/>
        </w:rPr>
        <w:t xml:space="preserve">P</w:t>
      </w:r>
      <w:r>
        <w:rPr>
          <w:color w:val="000000"/>
        </w:rPr>
        <w:t xml:space="preserve"> </w:t>
      </w:r>
      <w:r>
        <w:rPr>
          <w:color w:val="000000"/>
        </w:rPr>
        <w:t xml:space="preserve">= 0.323–0.972). Heterogeneity was present in FinnGen GD for</w:t>
      </w:r>
      <w:r>
        <w:rPr>
          <w:color w:val="000000"/>
        </w:rPr>
        <w:t xml:space="preserve"> </w:t>
      </w:r>
      <w:r>
        <w:rPr>
          <w:iCs/>
          <w:i/>
          <w:color w:val="000000"/>
        </w:rPr>
        <w:t xml:space="preserve">C4A</w:t>
      </w:r>
      <w:r>
        <w:rPr>
          <w:color w:val="000000"/>
        </w:rPr>
        <w:t xml:space="preserve"> </w:t>
      </w:r>
      <w:r>
        <w:rPr>
          <w:color w:val="000000"/>
        </w:rPr>
        <w:t xml:space="preserve">(Q-test</w:t>
      </w:r>
      <w:r>
        <w:rPr>
          <w:color w:val="000000"/>
        </w:rPr>
        <w:t xml:space="preserve"> </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CTLA4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0.0275) and</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Omitting rs149543464 (</w:t>
      </w:r>
      <w:r>
        <w:rPr>
          <w:iCs/>
          <w:i/>
          <w:color w:val="000000"/>
        </w:rPr>
        <w:t xml:space="preserve">TUBB</w:t>
      </w:r>
      <w:r>
        <w:rPr>
          <w:color w:val="000000"/>
        </w:rPr>
        <w:t xml:space="preserve">) or rs1269852 (</w:t>
      </w:r>
      <w:r>
        <w:rPr>
          <w:iCs/>
          <w:i/>
          <w:color w:val="000000"/>
        </w:rPr>
        <w:t xml:space="preserve">C4A</w:t>
      </w:r>
      <w:r>
        <w:rPr>
          <w:color w:val="000000"/>
        </w:rPr>
        <w:t xml:space="preserve">) raised FinnGen GD</w:t>
      </w:r>
      <w:r>
        <w:rPr>
          <w:color w:val="000000"/>
        </w:rPr>
        <w:t xml:space="preserve"> </w:t>
      </w:r>
      <w:r>
        <w:rPr>
          <w:iCs/>
          <w:i/>
          <w:color w:val="000000"/>
        </w:rPr>
        <w:t xml:space="preserve">P</w:t>
      </w:r>
      <w:r>
        <w:rPr>
          <w:color w:val="000000"/>
        </w:rPr>
        <w:t xml:space="preserve"> </w:t>
      </w:r>
      <w:r>
        <w:rPr>
          <w:color w:val="000000"/>
        </w:rPr>
        <w:t xml:space="preserve">to 0.0262 and 0.0471, respectively (Supplementary Dataset, LOO_new_fixed14). In BBJ and UKB, two of the four single-variant omissions removed nominal</w:t>
      </w:r>
      <w:r>
        <w:rPr>
          <w:color w:val="000000"/>
        </w:rPr>
        <w:t xml:space="preserve"> </w:t>
      </w:r>
      <w:r>
        <w:rPr>
          <w:iCs/>
          <w:i/>
          <w:color w:val="000000"/>
        </w:rPr>
        <w:t xml:space="preserve">IGF1R</w:t>
      </w:r>
      <w:r>
        <w:rPr>
          <w:color w:val="000000"/>
        </w:rPr>
        <w:t xml:space="preserve"> </w:t>
      </w:r>
      <w:r>
        <w:rPr>
          <w:color w:val="000000"/>
        </w:rPr>
        <w:t xml:space="preserve">significance: rs2654980 in both (</w:t>
      </w:r>
      <w:r>
        <w:rPr>
          <w:iCs/>
          <w:i/>
          <w:color w:val="000000"/>
        </w:rPr>
        <w:t xml:space="preserve">P</w:t>
      </w:r>
      <w:r>
        <w:rPr>
          <w:color w:val="000000"/>
        </w:rPr>
        <w:t xml:space="preserve"> </w:t>
      </w:r>
      <w:r>
        <w:rPr>
          <w:color w:val="000000"/>
        </w:rPr>
        <w:t xml:space="preserve">= 0.0751 and 0.468), rs59467480 in BBJ (</w:t>
      </w:r>
      <w:r>
        <w:rPr>
          <w:iCs/>
          <w:i/>
          <w:color w:val="000000"/>
        </w:rPr>
        <w:t xml:space="preserve">P</w:t>
      </w:r>
      <w:r>
        <w:rPr>
          <w:color w:val="000000"/>
        </w:rPr>
        <w:t xml:space="preserve"> </w:t>
      </w:r>
      <w:r>
        <w:rPr>
          <w:color w:val="000000"/>
        </w:rPr>
        <w:t xml:space="preserve">= 0.0503) and rs117212126 in UKB (</w:t>
      </w:r>
      <w:r>
        <w:rPr>
          <w:iCs/>
          <w:i/>
          <w:color w:val="000000"/>
        </w:rPr>
        <w:t xml:space="preserve">P</w:t>
      </w:r>
      <w:r>
        <w:rPr>
          <w:color w:val="000000"/>
        </w:rPr>
        <w:t xml:space="preserve"> </w:t>
      </w:r>
      <w:r>
        <w:rPr>
          <w:color w:val="000000"/>
        </w:rPr>
        <w:t xml:space="preserve">= 0.0529). Apart from rs2654980 in UKB (OR 1.16), these omissions left ORs close to the full estimates, with wider intervals (Figure S2; Supplementary Dataset).</w:t>
      </w:r>
    </w:p>
    <w:p>
      <w:pPr>
        <w:pStyle w:val="BodyText"/>
      </w:pPr>
      <w:r>
        <w:rPr>
          <w:color w:val="000000"/>
        </w:rPr>
        <w:t xml:space="preserve">Substituting eQTLGen cohort allele frequencies preserved the original 13 BBJ discoveries and the principal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interpretation (Supplementary Dataset, MR_original_freq and MR_new_freq), but not every exploratory FinnGen classification (Table S2). For</w:t>
      </w:r>
      <w:r>
        <w:rPr>
          <w:color w:val="000000"/>
        </w:rPr>
        <w:t xml:space="preserve"> </w:t>
      </w:r>
      <w:r>
        <w:rPr>
          <w:iCs/>
          <w:i/>
          <w:color w:val="000000"/>
        </w:rPr>
        <w:t xml:space="preserve">C4B</w:t>
      </w:r>
      <w:r>
        <w:rPr>
          <w:color w:val="000000"/>
        </w:rPr>
        <w:t xml:space="preserve"> </w:t>
      </w:r>
      <w:r>
        <w:rPr>
          <w:color w:val="000000"/>
        </w:rPr>
        <w:t xml:space="preserve">in FinnGen GD, the MR</w:t>
      </w:r>
      <w:r>
        <w:rPr>
          <w:color w:val="000000"/>
        </w:rPr>
        <w:t xml:space="preserve"> </w:t>
      </w:r>
      <w:r>
        <w:rPr>
          <w:iCs/>
          <w:i/>
          <w:color w:val="000000"/>
        </w:rPr>
        <w:t xml:space="preserve">P</w:t>
      </w:r>
      <w:r>
        <w:rPr>
          <w:color w:val="000000"/>
        </w:rPr>
        <w:t xml:space="preserve"> </w:t>
      </w:r>
      <w:r>
        <w:rPr>
          <w:color w:val="000000"/>
        </w:rPr>
        <w:t xml:space="preserve">value changed from 1.10×10</w:t>
      </w:r>
      <w:r>
        <w:rPr>
          <w:color w:val="000000"/>
          <w:vertAlign w:val="superscript"/>
        </w:rPr>
        <w:t xml:space="preserve">−5</w:t>
      </w:r>
      <w:r>
        <w:rPr>
          <w:color w:val="000000"/>
        </w:rPr>
        <w:t xml:space="preserve"> </w:t>
      </w:r>
      <w:r>
        <w:rPr>
          <w:color w:val="000000"/>
        </w:rPr>
        <w:t xml:space="preserve">to 1.48×10</w:t>
      </w:r>
      <w:r>
        <w:rPr>
          <w:color w:val="000000"/>
          <w:vertAlign w:val="superscript"/>
        </w:rPr>
        <w:t xml:space="preserve">−4</w:t>
      </w:r>
      <w:r>
        <w:rPr>
          <w:color w:val="000000"/>
        </w:rPr>
        <w:t xml:space="preserve">, crossing the full-screen threshold; both versions had Q-test</w:t>
      </w:r>
      <w:r>
        <w:rPr>
          <w:color w:val="000000"/>
        </w:rPr>
        <w:t xml:space="preserve"> </w:t>
      </w:r>
      <w:r>
        <w:rPr>
          <w:iCs/>
          <w:i/>
          <w:color w:val="000000"/>
        </w:rPr>
        <w:t xml:space="preserve">P</w:t>
      </w:r>
      <w:r>
        <w:rPr>
          <w:color w:val="000000"/>
        </w:rPr>
        <w:t xml:space="preserve"> </w:t>
      </w:r>
      <w:r>
        <w:rPr>
          <w:color w:val="000000"/>
        </w:rPr>
        <w:t xml:space="preserve">&lt; 10</w:t>
      </w:r>
      <w:r>
        <w:rPr>
          <w:color w:val="000000"/>
          <w:vertAlign w:val="superscript"/>
        </w:rPr>
        <w:t xml:space="preserve">−6</w:t>
      </w:r>
      <w:r>
        <w:rPr>
          <w:color w:val="000000"/>
        </w:rPr>
        <w:t xml:space="preserve">. For</w:t>
      </w:r>
      <w:r>
        <w:rPr>
          <w:color w:val="000000"/>
        </w:rPr>
        <w:t xml:space="preserve"> </w:t>
      </w:r>
      <w:r>
        <w:rPr>
          <w:iCs/>
          <w:i/>
          <w:color w:val="000000"/>
        </w:rPr>
        <w:t xml:space="preserve">HLA-G</w:t>
      </w:r>
      <w:r>
        <w:rPr>
          <w:color w:val="000000"/>
        </w:rPr>
        <w:t xml:space="preserve">,</w:t>
      </w:r>
      <w:r>
        <w:rPr>
          <w:color w:val="000000"/>
        </w:rPr>
        <w:t xml:space="preserve"> </w:t>
      </w:r>
      <w:r>
        <w:rPr>
          <w:iCs/>
          <w:i/>
          <w:color w:val="000000"/>
        </w:rPr>
        <w:t xml:space="preserve">P</w:t>
      </w:r>
      <w:r>
        <w:rPr>
          <w:color w:val="000000"/>
        </w:rPr>
        <w:t xml:space="preserve"> </w:t>
      </w:r>
      <w:r>
        <w:rPr>
          <w:color w:val="000000"/>
        </w:rPr>
        <w:t xml:space="preserve">changed from 0.107 to 1.72×10</w:t>
      </w:r>
      <w:r>
        <w:rPr>
          <w:color w:val="000000"/>
          <w:vertAlign w:val="superscript"/>
        </w:rPr>
        <w:t xml:space="preserve">−5</w:t>
      </w:r>
      <w:r>
        <w:rPr>
          <w:color w:val="000000"/>
        </w:rPr>
        <w:t xml:space="preserve"> </w:t>
      </w:r>
      <w:r>
        <w:rPr>
          <w:color w:val="000000"/>
        </w:rPr>
        <w:t xml:space="preserve">as the IVW weight of rs150254595 increased from 21.3% to 58.9%. Omitting this variant left non-significant estimates under either frequency source.</w:t>
      </w:r>
    </w:p>
    <w:bookmarkEnd w:id="31"/>
    <w:bookmarkStart w:id="32" w:name="colocalization"/>
    <w:p>
      <w:pPr>
        <w:pStyle w:val="Heading3"/>
      </w:pPr>
      <w:r>
        <w:rPr>
          <w:color w:val="000000"/>
        </w:rPr>
        <w:t xml:space="preserve">Colocalization</w:t>
      </w:r>
    </w:p>
    <w:p>
      <w:pPr>
        <w:pStyle w:val="FirstParagraph"/>
      </w:pPr>
      <w:r>
        <w:rPr>
          <w:color w:val="000000"/>
        </w:rPr>
        <w:t xml:space="preserve">Regional analyses assessed whether expression and disease signals shared a causal variant (Figures 2 and 3; Table S3). For</w:t>
      </w:r>
      <w:r>
        <w:rPr>
          <w:color w:val="000000"/>
        </w:rPr>
        <w:t xml:space="preserve"> </w:t>
      </w:r>
      <w:r>
        <w:rPr>
          <w:iCs/>
          <w:i/>
          <w:color w:val="000000"/>
        </w:rPr>
        <w:t xml:space="preserve">TSHR</w:t>
      </w:r>
      <w:r>
        <w:rPr>
          <w:color w:val="000000"/>
        </w:rPr>
        <w:t xml:space="preserve">, PP.H4 was 0.951 in BBJ, 0.986 in FinnGen ophthalmopathy and 0.891 in strict ophthalmopathy under the primary prior. It was lower in UKB (0.226) and FinnGen GD (0.264), where PP.H3 was 0.774 and 0.736, respectively. The latter patterns favored distinct variants under the fitted model despite very small MR</w:t>
      </w:r>
      <w:r>
        <w:rPr>
          <w:color w:val="000000"/>
        </w:rPr>
        <w:t xml:space="preserve"> </w:t>
      </w:r>
      <w:r>
        <w:rPr>
          <w:iCs/>
          <w:i/>
          <w:color w:val="000000"/>
        </w:rPr>
        <w:t xml:space="preserve">P</w:t>
      </w:r>
      <w:r>
        <w:rPr>
          <w:color w:val="000000"/>
        </w:rPr>
        <w:t xml:space="preserve"> </w:t>
      </w:r>
      <w:r>
        <w:rPr>
          <w:color w:val="000000"/>
        </w:rPr>
        <w:t xml:space="preserve">values. This discordance persisted in narrower regions and a common five-outcome variant set. The matched analyses retained the regional disease peaks, and all three FinnGen comparisons shared 6,579 variants in the full cis-region. Lowering the shared-variant prior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reduced PP.H4 to 0.875 in FinnGen ophthalmopathy but below 0.80 in BBJ (0.661) and strict ophthalmopathy (0.451).</w:t>
      </w:r>
    </w:p>
    <w:p>
      <w:pPr>
        <w:pStyle w:val="BodyText"/>
      </w:pPr>
      <w:r>
        <w:rPr>
          <w:iCs/>
          <w:i/>
          <w:color w:val="000000"/>
        </w:rPr>
        <w:t xml:space="preserve">IGF1R</w:t>
      </w:r>
      <w:r>
        <w:rPr>
          <w:color w:val="000000"/>
        </w:rPr>
        <w:t xml:space="preserve"> </w:t>
      </w:r>
      <w:r>
        <w:rPr>
          <w:color w:val="000000"/>
        </w:rPr>
        <w:t xml:space="preserve">PP.H4 ranged from 0.010 to 0.404 (UKB); elsewhere, expression-only PP.H2 predominated (0.571–0.731), consistent with weak regional disease signals.</w:t>
      </w:r>
      <w:r>
        <w:rPr>
          <w:color w:val="000000"/>
        </w:rPr>
        <w:t xml:space="preserve"> </w:t>
      </w:r>
      <w:r>
        <w:rPr>
          <w:iCs/>
          <w:i/>
          <w:color w:val="000000"/>
        </w:rPr>
        <w:t xml:space="preserve">CTLA4</w:t>
      </w:r>
      <w:r>
        <w:rPr>
          <w:color w:val="000000"/>
        </w:rPr>
        <w:t xml:space="preserve"> </w:t>
      </w:r>
      <w:r>
        <w:rPr>
          <w:color w:val="000000"/>
        </w:rPr>
        <w:t xml:space="preserve">PP.H4 was 0.201 in BBJ and 0.254 in FinnGen GD, compared with 0.953 in UKB and 0.978 and 0.979 in the two ophthalmopathy endpoints. Neither</w:t>
      </w:r>
      <w:r>
        <w:rPr>
          <w:color w:val="000000"/>
        </w:rPr>
        <w:t xml:space="preserve"> </w:t>
      </w:r>
      <w:r>
        <w:rPr>
          <w:iCs/>
          <w:i/>
          <w:color w:val="000000"/>
        </w:rPr>
        <w:t xml:space="preserve">HLA-DQA2</w:t>
      </w:r>
      <w:r>
        <w:rPr>
          <w:color w:val="000000"/>
        </w:rPr>
        <w:t xml:space="preserve"> </w:t>
      </w:r>
      <w:r>
        <w:rPr>
          <w:color w:val="000000"/>
        </w:rPr>
        <w:t xml:space="preserve">nor</w:t>
      </w:r>
      <w:r>
        <w:rPr>
          <w:color w:val="000000"/>
        </w:rPr>
        <w:t xml:space="preserve"> </w:t>
      </w:r>
      <w:r>
        <w:rPr>
          <w:iCs/>
          <w:i/>
          <w:color w:val="000000"/>
        </w:rPr>
        <w:t xml:space="preserve">TUBB</w:t>
      </w:r>
      <w:r>
        <w:rPr>
          <w:color w:val="000000"/>
        </w:rPr>
        <w:t xml:space="preserve"> </w:t>
      </w:r>
      <w:r>
        <w:rPr>
          <w:color w:val="000000"/>
        </w:rPr>
        <w:t xml:space="preserve">reached PP.H4 of 0.001 in any dataset. None of the 24 assessed genes reached PP.H4 ≥ 0.80 in FinnGen GD.</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had strong BBJ support (0.994 and 0.989) but PP.H4 ≤ 0.313 elsewhere. The nine additional FinnGen discoveries and frequency-sensitive</w:t>
      </w:r>
      <w:r>
        <w:rPr>
          <w:color w:val="000000"/>
        </w:rPr>
        <w:t xml:space="preserve"> </w:t>
      </w:r>
      <w:r>
        <w:rPr>
          <w:iCs/>
          <w:i/>
          <w:color w:val="000000"/>
        </w:rPr>
        <w:t xml:space="preserve">HLA-G</w:t>
      </w:r>
      <w:r>
        <w:rPr>
          <w:color w:val="000000"/>
        </w:rPr>
        <w:t xml:space="preserve"> </w:t>
      </w:r>
      <w:r>
        <w:rPr>
          <w:color w:val="000000"/>
        </w:rPr>
        <w:t xml:space="preserve">lacked strong support in any dataset. Conditional analysis found the three chromosome 16p11.2 discoveries (</w:t>
      </w:r>
      <w:r>
        <w:rPr>
          <w:iCs/>
          <w:i/>
          <w:color w:val="000000"/>
        </w:rPr>
        <w:t xml:space="preserve">HSD3B7</w:t>
      </w:r>
      <w:r>
        <w:rPr>
          <w:color w:val="000000"/>
        </w:rPr>
        <w:t xml:space="preserve">,</w:t>
      </w:r>
      <w:r>
        <w:rPr>
          <w:color w:val="000000"/>
        </w:rPr>
        <w:t xml:space="preserve"> </w:t>
      </w:r>
      <w:r>
        <w:rPr>
          <w:iCs/>
          <w:i/>
          <w:color w:val="000000"/>
        </w:rPr>
        <w:t xml:space="preserve">VKORC1</w:t>
      </w:r>
      <w:r>
        <w:rPr>
          <w:color w:val="000000"/>
        </w:rPr>
        <w:t xml:space="preserve"> </w:t>
      </w:r>
      <w:r>
        <w:rPr>
          <w:color w:val="000000"/>
        </w:rPr>
        <w:t xml:space="preserve">and</w:t>
      </w:r>
      <w:r>
        <w:rPr>
          <w:color w:val="000000"/>
        </w:rPr>
        <w:t xml:space="preserve"> </w:t>
      </w:r>
      <w:r>
        <w:rPr>
          <w:iCs/>
          <w:i/>
          <w:color w:val="000000"/>
        </w:rPr>
        <w:t xml:space="preserve">PRSS36</w:t>
      </w:r>
      <w:r>
        <w:rPr>
          <w:color w:val="000000"/>
        </w:rPr>
        <w:t xml:space="preserve">) compatible with one regional association (Supplementary Methods).</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ten gene–tissue combinations provided a qualifying instrument, each retaining one SNP after clumping (F = 32.1–61.1). Higher genetically proxied</w:t>
      </w:r>
      <w:r>
        <w:rPr>
          <w:color w:val="000000"/>
        </w:rPr>
        <w:t xml:space="preserve"> </w:t>
      </w:r>
      <w:r>
        <w:rPr>
          <w:iCs/>
          <w:i/>
          <w:color w:val="000000"/>
        </w:rPr>
        <w:t xml:space="preserve">TSHR</w:t>
      </w:r>
      <w:r>
        <w:rPr>
          <w:color w:val="000000"/>
        </w:rPr>
        <w:t xml:space="preserve"> </w:t>
      </w:r>
      <w:r>
        <w:rPr>
          <w:color w:val="000000"/>
        </w:rPr>
        <w:t xml:space="preserve">expression in subcutaneous and visceral adipose was associated with lower FinnGen GD odds (OR 0.36, 95% CI 0.31–0.43;</w:t>
      </w:r>
      <w:r>
        <w:rPr>
          <w:color w:val="000000"/>
        </w:rPr>
        <w:t xml:space="preserve"> </w:t>
      </w:r>
      <w:r>
        <w:rPr>
          <w:iCs/>
          <w:i/>
          <w:color w:val="000000"/>
        </w:rPr>
        <w:t xml:space="preserve">P</w:t>
      </w:r>
      <w:r>
        <w:rPr>
          <w:color w:val="000000"/>
        </w:rPr>
        <w:t xml:space="preserve"> </w:t>
      </w:r>
      <w:r>
        <w:rPr>
          <w:color w:val="000000"/>
        </w:rPr>
        <w:t xml:space="preserve">= 1.28×10</w:t>
      </w:r>
      <w:r>
        <w:rPr>
          <w:color w:val="000000"/>
          <w:vertAlign w:val="superscript"/>
        </w:rPr>
        <w:t xml:space="preserve">−34</w:t>
      </w:r>
      <w:r>
        <w:rPr>
          <w:color w:val="000000"/>
        </w:rPr>
        <w:t xml:space="preserve"> </w:t>
      </w:r>
      <w:r>
        <w:rPr>
          <w:color w:val="000000"/>
        </w:rPr>
        <w:t xml:space="preserve">and OR 0.50, 95% CI 0.43–0.58;</w:t>
      </w:r>
      <w:r>
        <w:rPr>
          <w:color w:val="000000"/>
        </w:rPr>
        <w:t xml:space="preserve"> </w:t>
      </w:r>
      <w:r>
        <w:rPr>
          <w:iCs/>
          <w:i/>
          <w:color w:val="000000"/>
        </w:rPr>
        <w:t xml:space="preserve">P</w:t>
      </w:r>
      <w:r>
        <w:rPr>
          <w:color w:val="000000"/>
        </w:rPr>
        <w:t xml:space="preserve"> </w:t>
      </w:r>
      <w:r>
        <w:rPr>
          <w:color w:val="000000"/>
        </w:rPr>
        <w:t xml:space="preserve">= 4.09×10</w:t>
      </w:r>
      <w:r>
        <w:rPr>
          <w:color w:val="000000"/>
          <w:vertAlign w:val="superscript"/>
        </w:rPr>
        <w:t xml:space="preserve">−19</w:t>
      </w:r>
      <w:r>
        <w:rPr>
          <w:color w:val="000000"/>
        </w:rPr>
        <w:t xml:space="preserve">, respectively); BBJ and UKB estimates passed correction. Subcutaneous estimates also passed correction in both ophthalmopathy datasets; visceral estimates did not (</w:t>
      </w:r>
      <w:r>
        <w:rPr>
          <w:iCs/>
          <w:i/>
          <w:color w:val="000000"/>
        </w:rPr>
        <w:t xml:space="preserve">P</w:t>
      </w:r>
      <w:r>
        <w:rPr>
          <w:color w:val="000000"/>
        </w:rPr>
        <w:t xml:space="preserve"> </w:t>
      </w:r>
      <w:r>
        <w:rPr>
          <w:color w:val="000000"/>
        </w:rPr>
        <w:t xml:space="preserve">= 0.0368 and 0.186). The two</w:t>
      </w:r>
      <w:r>
        <w:rPr>
          <w:color w:val="000000"/>
        </w:rPr>
        <w:t xml:space="preserve"> </w:t>
      </w:r>
      <w:r>
        <w:rPr>
          <w:iCs/>
          <w:i/>
          <w:color w:val="000000"/>
        </w:rPr>
        <w:t xml:space="preserve">TSHR</w:t>
      </w:r>
      <w:r>
        <w:rPr>
          <w:color w:val="000000"/>
        </w:rPr>
        <w:t xml:space="preserve"> </w:t>
      </w:r>
      <w:r>
        <w:rPr>
          <w:color w:val="000000"/>
        </w:rPr>
        <w:t xml:space="preserve">instruments, rs12101255 and rs74064796,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themselves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Neither thyroid nor cultured-fibroblast</w:t>
      </w:r>
      <w:r>
        <w:rPr>
          <w:color w:val="000000"/>
        </w:rPr>
        <w:t xml:space="preserve"> </w:t>
      </w:r>
      <w:r>
        <w:rPr>
          <w:iCs/>
          <w:i/>
          <w:color w:val="000000"/>
        </w:rPr>
        <w:t xml:space="preserve">IGF1R</w:t>
      </w:r>
      <w:r>
        <w:rPr>
          <w:color w:val="000000"/>
        </w:rPr>
        <w:t xml:space="preserve"> </w:t>
      </w:r>
      <w:r>
        <w:rPr>
          <w:color w:val="000000"/>
        </w:rPr>
        <w:t xml:space="preserve">estimates reached</w:t>
      </w:r>
      <w:r>
        <w:rPr>
          <w:color w:val="000000"/>
        </w:rPr>
        <w:t xml:space="preserve"> </w:t>
      </w:r>
      <w:r>
        <w:rPr>
          <w:iCs/>
          <w:i/>
          <w:color w:val="000000"/>
        </w:rPr>
        <w:t xml:space="preserve">P</w:t>
      </w:r>
      <w:r>
        <w:rPr>
          <w:color w:val="000000"/>
        </w:rPr>
        <w:t xml:space="preserve"> </w:t>
      </w:r>
      <w:r>
        <w:rPr>
          <w:color w:val="000000"/>
        </w:rPr>
        <w:t xml:space="preserve">&lt; 0.05 in any dataset. Their FinnGen GD estimates were OR 0.76 (thyroid; 95% CI 0.56–1.02;</w:t>
      </w:r>
      <w:r>
        <w:rPr>
          <w:color w:val="000000"/>
        </w:rPr>
        <w:t xml:space="preserve"> </w:t>
      </w:r>
      <w:r>
        <w:rPr>
          <w:iCs/>
          <w:i/>
          <w:color w:val="000000"/>
        </w:rPr>
        <w:t xml:space="preserve">P</w:t>
      </w:r>
      <w:r>
        <w:rPr>
          <w:color w:val="000000"/>
        </w:rPr>
        <w:t xml:space="preserve"> </w:t>
      </w:r>
      <w:r>
        <w:rPr>
          <w:color w:val="000000"/>
        </w:rPr>
        <w:t xml:space="preserve">= 0.0692) and OR 1.11 (fibroblasts; 95% CI 0.89–1.38;</w:t>
      </w:r>
      <w:r>
        <w:rPr>
          <w:color w:val="000000"/>
        </w:rPr>
        <w:t xml:space="preserve"> </w:t>
      </w:r>
      <w:r>
        <w:rPr>
          <w:iCs/>
          <w:i/>
          <w:color w:val="000000"/>
        </w:rPr>
        <w:t xml:space="preserve">P</w:t>
      </w:r>
      <w:r>
        <w:rPr>
          <w:color w:val="000000"/>
        </w:rPr>
        <w:t xml:space="preserve"> </w:t>
      </w:r>
      <w:r>
        <w:rPr>
          <w:color w:val="000000"/>
        </w:rPr>
        <w:t xml:space="preserve">= 0.359); directions were inconsistent across datasets. All 20 estimates and 30 unestimable comparisons are reported (Table S4; Supplementary Dataset, Tissue_extension).</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patients with inactive TED exceeded those in the single control (Figure S1). With one control from a different fat depot and no significance testing, these observations do not establish differential expression or explain the genetic associations.</w:t>
      </w:r>
    </w:p>
    <w:bookmarkEnd w:id="34"/>
    <w:bookmarkEnd w:id="35"/>
    <w:bookmarkStart w:id="38" w:name="discussion"/>
    <w:p>
      <w:pPr>
        <w:pStyle w:val="Heading2"/>
      </w:pPr>
      <w:r>
        <w:rPr>
          <w:color w:val="000000"/>
        </w:rPr>
        <w:t xml:space="preserve">Discussion</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and FinnGen GD, with concordant directions for UKB hyperthyroidism and both ophthalmopathy endpoints.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Under the primary prior,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favored distinct variants in UKB and FinnGen GD. These results do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and strict ophthalmopathy in an earlier FinnGen release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Because Ji and colleagues also used eQTLGen and FinnGen, agreement is not wholly independent replication. Different MR methods, FinnGen releases and colocalization settings also preclude interpreting differences between reports as direct contradictions.</w:t>
      </w:r>
    </w:p>
    <w:p>
      <w:pPr>
        <w:pStyle w:val="BodyText"/>
      </w:pPr>
      <w:r>
        <w:rPr>
          <w:color w:val="000000"/>
        </w:rPr>
        <w:t xml:space="preserve">Among the other associated genes, 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w:t>
      </w:r>
      <w:r>
        <w:rPr>
          <w:color w:val="000000"/>
        </w:rPr>
        <w:t xml:space="preserve"> </w:t>
      </w:r>
      <w:r>
        <w:rPr>
          <w:iCs/>
          <w:i/>
          <w:color w:val="000000"/>
        </w:rPr>
        <w:t xml:space="preserve">CTLA4</w:t>
      </w:r>
      <w:r>
        <w:rPr>
          <w:color w:val="000000"/>
        </w:rPr>
        <w:t xml:space="preserve">’s direction-consistent associations across all five outcomes support its use as an autoimmune comparator [26].</w:t>
      </w:r>
      <w:r>
        <w:rPr>
          <w:color w:val="000000"/>
        </w:rPr>
        <w:t xml:space="preserve"> </w:t>
      </w:r>
      <w:r>
        <w:rPr>
          <w:iCs/>
          <w:i/>
          <w:color w:val="000000"/>
        </w:rPr>
        <w:t xml:space="preserve">HLA-DQA2</w:t>
      </w:r>
      <w:r>
        <w:rPr>
          <w:color w:val="000000"/>
        </w:rPr>
        <w:t xml:space="preserve"> </w:t>
      </w:r>
      <w:r>
        <w:rPr>
          <w:color w:val="000000"/>
        </w:rPr>
        <w:t xml:space="preserve">was discordant only in UKB, where its two instruments disagreed, while FinnGen GD</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estimates each depended largely on one variant. The strongest BBJ association,</w:t>
      </w:r>
      <w:r>
        <w:rPr>
          <w:color w:val="000000"/>
        </w:rPr>
        <w:t xml:space="preserve"> </w:t>
      </w:r>
      <w:r>
        <w:rPr>
          <w:iCs/>
          <w:i/>
          <w:color w:val="000000"/>
        </w:rPr>
        <w:t xml:space="preserve">HLA-A</w:t>
      </w:r>
      <w:r>
        <w:rPr>
          <w:color w:val="000000"/>
        </w:rPr>
        <w:t xml:space="preserve">, did not persist in FinnGen GD, so the smallest discovery</w:t>
      </w:r>
      <w:r>
        <w:rPr>
          <w:color w:val="000000"/>
        </w:rPr>
        <w:t xml:space="preserve"> </w:t>
      </w:r>
      <w:r>
        <w:rPr>
          <w:iCs/>
          <w:i/>
          <w:color w:val="000000"/>
        </w:rPr>
        <w:t xml:space="preserve">P</w:t>
      </w:r>
      <w:r>
        <w:rPr>
          <w:color w:val="000000"/>
        </w:rPr>
        <w:t xml:space="preserve"> </w:t>
      </w:r>
      <w:r>
        <w:rPr>
          <w:color w:val="000000"/>
        </w:rPr>
        <w:t xml:space="preserve">value need not identify the most transferable association. Shared instruments, complex MHC linkage and,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absent shared-variant support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the GD-protective allele associated with greater thymic transcription in published studies [27, 28]. This directional consistency is compatible with a central-tolerance explanation, but the thymic step was not tested here, and neither linked variant is a proven causal regulator. The marked departure of the MR ORs from 1 reflects scaling: rs179252 shifts reconstructed blood expression by only about 0.11 SD, and its per-allele disease ORs were 0.80 (BBJ), 0.77 (UKB), 0.78 (FinnGen ophthalmopathy), 0.77 (FinnGen GD) and 0.82 (strict ophthalmopathy). Rescaling these moderate per-allele effects to one SD of expression yields the per-SD ORs, which describe lifelong inherited differences, not the effect of raising</w:t>
      </w:r>
      <w:r>
        <w:rPr>
          <w:color w:val="000000"/>
        </w:rPr>
        <w:t xml:space="preserve"> </w:t>
      </w:r>
      <w:r>
        <w:rPr>
          <w:iCs/>
          <w:i/>
          <w:color w:val="000000"/>
        </w:rPr>
        <w:t xml:space="preserve">TSHR</w:t>
      </w:r>
      <w:r>
        <w:rPr>
          <w:color w:val="000000"/>
        </w:rPr>
        <w:t xml:space="preserve"> </w:t>
      </w:r>
      <w:r>
        <w:rPr>
          <w:color w:val="000000"/>
        </w:rPr>
        <w:t xml:space="preserve">expression or of TSHR-directed treatment. Because the adipose instruments tag the same intron-1 region as rs179252 and are themselves blood eQTLs, their concordant estimates re-express the regional association; they cannot resolve the distinct-variant pattern in UKB and FinnGen GD or establish an adipose-mediated mechanism, and neither depot is orbital fat.</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distinct-variant regional patterns, and BBJ and strict ophthalmopathy support weakened under a lower shared-variant prior. Thus, association strength and shared-variant evidence were not interchangeable, as also seen for the comparator</w:t>
      </w:r>
      <w:r>
        <w:rPr>
          <w:color w:val="000000"/>
        </w:rPr>
        <w:t xml:space="preserve"> </w:t>
      </w:r>
      <w:r>
        <w:rPr>
          <w:iCs/>
          <w:i/>
          <w:color w:val="000000"/>
        </w:rPr>
        <w:t xml:space="preserve">CTLA4</w:t>
      </w:r>
      <w:r>
        <w:rPr>
          <w:color w:val="000000"/>
        </w:rPr>
        <w:t xml:space="preserve"> </w:t>
      </w:r>
      <w:r>
        <w:rPr>
          <w:color w:val="000000"/>
        </w:rPr>
        <w:t xml:space="preserve">in BBJ and FinnGen GD. UKB and FinnGen GD had the most cases of the five datasets; their distinct-variant</w:t>
      </w:r>
      <w:r>
        <w:rPr>
          <w:color w:val="000000"/>
        </w:rPr>
        <w:t xml:space="preserve"> </w:t>
      </w:r>
      <w:r>
        <w:rPr>
          <w:iCs/>
          <w:i/>
          <w:color w:val="000000"/>
        </w:rPr>
        <w:t xml:space="preserve">TSHR</w:t>
      </w:r>
      <w:r>
        <w:rPr>
          <w:color w:val="000000"/>
        </w:rPr>
        <w:t xml:space="preserve"> </w:t>
      </w:r>
      <w:r>
        <w:rPr>
          <w:color w:val="000000"/>
        </w:rPr>
        <w:t xml:space="preserve">patterns could reflect finer resolution of a complex regional architecture, but this was not tested. Ji and colleagues chose a shared-variant prior intended to allow weaker signals to colocalize and accepted PP.H4 above 0.50 [9], whereas our primary settings used p12 = 10</w:t>
      </w:r>
      <w:r>
        <w:rPr>
          <w:color w:val="000000"/>
          <w:vertAlign w:val="superscript"/>
        </w:rPr>
        <w:t xml:space="preserve">−5</w:t>
      </w:r>
      <w:r>
        <w:rPr>
          <w:color w:val="000000"/>
        </w:rPr>
        <w:t xml:space="preserve"> </w:t>
      </w:r>
      <w:r>
        <w:rPr>
          <w:color w:val="000000"/>
        </w:rPr>
        <w:t xml:space="preserve">and PP.H4 ≥ 0.80, so colocalization labels are not directly comparable between the studies.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plausible, but our instruments do not measure receptor cleavage or antibody activity. Because most patients with TED have GD and the ophthalmopathy endpoints used population controls, their MR estimates may largely reflect GD susceptibility rather than a TED-specific effect, and higher colocalization probabilities do not establish one.</w:t>
      </w:r>
    </w:p>
    <w:p>
      <w:pPr>
        <w:pStyle w:val="BodyText"/>
      </w:pPr>
      <w:r>
        <w:rPr>
          <w:color w:val="000000"/>
        </w:rPr>
        <w:t xml:space="preserve">For</w:t>
      </w:r>
      <w:r>
        <w:rPr>
          <w:color w:val="000000"/>
        </w:rPr>
        <w:t xml:space="preserve"> </w:t>
      </w:r>
      <w:r>
        <w:rPr>
          <w:iCs/>
          <w:i/>
          <w:color w:val="000000"/>
        </w:rPr>
        <w:t xml:space="preserve">IGF1R</w:t>
      </w:r>
      <w:r>
        <w:rPr>
          <w:color w:val="000000"/>
        </w:rPr>
        <w:t xml:space="preserve">, blood expression-related genetic evidence was limited: ORs above 1, two nominal associations, imprecise ophthalmopathy estimates and mostly weak regional disease signals do not establish a susceptibility effect. Some single-variant omissions removed nominal significance, although most left ORs close to the full estimates. The near-null FinnGen GD estimate argues against large, but not modest, blood-expression effects. Thyroid and cultured-fibroblast</w:t>
      </w:r>
      <w:r>
        <w:rPr>
          <w:color w:val="000000"/>
        </w:rPr>
        <w:t xml:space="preserve"> </w:t>
      </w:r>
      <w:r>
        <w:rPr>
          <w:iCs/>
          <w:i/>
          <w:color w:val="000000"/>
        </w:rPr>
        <w:t xml:space="preserve">IGF1R</w:t>
      </w:r>
      <w:r>
        <w:rPr>
          <w:color w:val="000000"/>
        </w:rPr>
        <w:t xml:space="preserve"> </w:t>
      </w:r>
      <w:r>
        <w:rPr>
          <w:color w:val="000000"/>
        </w:rPr>
        <w:t xml:space="preserve">estimates were non-significant and directions were inconsistent across datasets, but single instruments, wide intervals and absent orbital eQTLs leave tissue-specific effects open. Cultured fibroblasts are not orbital fibroblasts, and unestimable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a randomized trial in active TED [3], and experimental TSHR–IGF-1R crosstalk [5] concerns receptor signaling rather than inherited susceptibility.</w:t>
      </w:r>
    </w:p>
    <w:p>
      <w:pPr>
        <w:pStyle w:val="BodyText"/>
      </w:pPr>
      <w:r>
        <w:rPr>
          <w:color w:val="000000"/>
        </w:rPr>
        <w:t xml:space="preserve">Frequency substitution preserved the principal findings and changed full-screen classifications only for exploratory</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like instrument omission, it reused the same data and is not independent replication. For research on TSHR and IGF-1R,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expression associations and LD patterns to transfer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using a release excluding Framingham participants, addresses only part of expression reconstruction and does not remove LD-reference limitations or independently validate rare-variant effects. The orbital series, from inactive TED, has a single control and no inferential role. The GTEx extension, also predominantly European, had four estimable combinations, each with one instrument.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[33],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At the discovery threshold, most BBJ genes lacked 80% power for an OR of 1.5, and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with the most precise estimate near the null. Colocalization supported a shared</w:t>
      </w:r>
      <w:r>
        <w:rPr>
          <w:color w:val="000000"/>
        </w:rPr>
        <w:t xml:space="preserve"> </w:t>
      </w:r>
      <w:r>
        <w:rPr>
          <w:iCs/>
          <w:i/>
          <w:color w:val="000000"/>
        </w:rPr>
        <w:t xml:space="preserve">TSHR</w:t>
      </w:r>
      <w:r>
        <w:rPr>
          <w:color w:val="000000"/>
        </w:rPr>
        <w:t xml:space="preserve"> </w:t>
      </w:r>
      <w:r>
        <w:rPr>
          <w:color w:val="000000"/>
        </w:rPr>
        <w:t xml:space="preserve">variant in FinnGen ophthalmopathy and, depending on the prior, in BBJ and strict ophthalmopathy, but not in UKB or FinnGen GD, so these data establish association rather than expression-mediated causality.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The population-controlled ophthalmopathy analyses do not estimate TED susceptibility among patients with GD or predict treatment response.</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2026-10-17T15:43:38Z</dcterms:created>
  <dcterms:modified xsi:type="dcterms:W3CDTF">2026-10-17T15:43:38Z</dcterms:modified>
  <cp:lastModifiedBy/>
  <dc:description/>
</cp:coreProperties>
</file>

<file path=docProps/custom.xml><?xml version="1.0" encoding="utf-8"?>
<Properties xmlns="http://schemas.openxmlformats.org/officeDocument/2006/custom-properties" xmlns:vt="http://schemas.openxmlformats.org/officeDocument/2006/docPropsVTypes"/>
</file>