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2"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framework to separate susceptibility from effector axes in Graves disease (GD) and TED.</w:t>
      </w:r>
      <w:r>
        <w:t xml:space="preserve"> </w:t>
      </w: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Outcomes were Biobank Japan (BBJ) Graves disease (discovery), UK Biobank (UKB) hyperthyroidism (replication), and FinnGen R12 Graves ophthalmopathy (TED-enriched sensitivity).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TED-enriched signals (PP.H4=0.951 and 0.986; shared variant rs179252), and exploratory upregulation in TED orbital tissue (log2FC=+2.33, adjusted P=0.032).</w:t>
      </w:r>
      <w:r>
        <w:t xml:space="preserve"> </w:t>
      </w:r>
      <w:r>
        <w:rPr>
          <w:iCs/>
          <w:i/>
        </w:rPr>
        <w:t xml:space="preserve">IGF1R</w:t>
      </w:r>
      <w:r>
        <w:t xml:space="preserve"> </w:t>
      </w:r>
      <w:r>
        <w:t xml:space="preserve">showed directionally consistent risk-direction MR estimates, reaching nominal significance in the BBJ and UKB outcomes but not in the smaller FinnGen outcome, and lacked expression colocalization or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fine-mapping, and disease-relevant tissue expression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TED-enriched sensitivity outcome [14] (Table 1). Because TED-specific GWAS remain substantially smaller than GD GWAS, this design tested the signal first in a better-powered discovery set and then in a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carried through every evidence layer irrespective of their discovery</w:t>
      </w:r>
      <w:r>
        <w:t xml:space="preserve"> </w:t>
      </w:r>
      <w:r>
        <w:rPr>
          <w:iCs/>
          <w:i/>
        </w:rPr>
        <w:t xml:space="preserve">P</w:t>
      </w:r>
      <w:r>
        <w:t xml:space="preserve"> </w:t>
      </w:r>
      <w:r>
        <w:t xml:space="preserve">values.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Strong colocalization was defined as PP.H4 ≥ 0.80 and evaluated separately against the discovery and TED-enriched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three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robust novel target should accordingly be read as evidence against additional large, expression-colocalized druggable effects rather than against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TED-enriched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showed exploratory upregulation in TED orbital tissue relative to control tissue (log2 fold-change = +2.33, adjusted</w:t>
      </w:r>
      <w:r>
        <w:t xml:space="preserve"> </w:t>
      </w:r>
      <w:r>
        <w:rPr>
          <w:iCs/>
          <w:i/>
        </w:rPr>
        <w:t xml:space="preserve">P</w:t>
      </w:r>
      <w:r>
        <w:t xml:space="preserve"> </w:t>
      </w:r>
      <w:r>
        <w:t xml:space="preserve">= 0.032; Figure 3C); because the dataset contained a single control, this provides supportive but non-confirmatory tissue-level context rather than a replicated differential-expression result. Together, these results position</w:t>
      </w:r>
      <w:r>
        <w:t xml:space="preserve"> </w:t>
      </w:r>
      <w:r>
        <w:rPr>
          <w:iCs/>
          <w:i/>
        </w:rPr>
        <w:t xml:space="preserve">TSHR</w:t>
      </w:r>
      <w:r>
        <w:t xml:space="preserve"> </w:t>
      </w:r>
      <w:r>
        <w:t xml:space="preserve">as an expression-colocalized upstream susceptibility anchor for Graves disease — resolved to a shared causal variant and a single credible set rather than merely rediscovered as an association — whose signal is also recovered in a TED-enriched Graves ophthalmopathy outcome, although a TED-specific effect separable from Graves disease liability is not established by these data.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eQTL-only pattern rather than a shared causal variant in both the discovery and TED-enriched outcomes (PP.H2 = 0.79 and 0.68; PP.H4 = 0.043 and 0.036; Figure 3A), indicating a well-defined</w:t>
      </w:r>
      <w:r>
        <w:t xml:space="preserve"> </w:t>
      </w:r>
      <w:r>
        <w:rPr>
          <w:iCs/>
          <w:i/>
        </w:rPr>
        <w:t xml:space="preserve">cis</w:t>
      </w:r>
      <w:r>
        <w:t xml:space="preserve">-eQTL at the locus without a detectable disease association,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&gt; 0.99;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TED-enriched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and significant orbital tissue upregulation — a profile more compatible with pharmacologic effector biology than with expression-colocalized susceptibility. Across 2,545 MR-testable druggable genes, no non-known candidate advanced as a robust novel target after cross-outcome colocalization,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 shared causal variant with disease association in both the discovery and TED-enriched outcomes at rs179252, and fine-mapping showing that secondary credible-set lead variants remained in substantial linkage disequilibrium with it and did not provide clearly independent additional instruments. The MR estimate therefore reflects a well-defined locus-level signal rather than an artifact of unmodeled allelic heterogeneity or arbitrary instrument selection. Its convergence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and we caution against reading tissue differential expression as directionally equivalent to a germline MR effect.</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nor must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[27]. That principle is already established; what this study contributes is a worked demonstration of it within a single disease area, in which the anchor and the candidate effector are resolved side by side under the same outcome hierarchy, analytic framework, and filters. Our findings do not test whether targeting an upstream anchor would offer clinical advantages over established effector-directed therapy — a question outside the scope of a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[25] was recovered as a strong direction-consistent signal, indicating sensitivity to known autoimmune biology; and the</w:t>
      </w:r>
      <w:r>
        <w:t xml:space="preserve"> </w:t>
      </w:r>
      <w:r>
        <w:rPr>
          <w:iCs/>
          <w:i/>
        </w:rPr>
        <w:t xml:space="preserve">TSHR</w:t>
      </w:r>
      <w:r>
        <w:t xml:space="preserve"> </w:t>
      </w:r>
      <w:r>
        <w:t xml:space="preserve">instrument was fine-mapped rather than accepted at face value, supporting its interpretation as a locus-level anchor rather than an artifact of allelic heterogeneity. Together these reduce the likelihood that the central susceptibility–effector distinction is driven by single-outcome artifacts or linkage-driven signals.</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[26]. Second, the eQTL data were predominantly European whereas the discovery outcome was East Asian [13]; concordant effects provide a form of cross-ancestry assessment, but allele-frequency and linkage-disequilibrium differences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fine-mapping [22] supported this as a locus-level anchor, but single-instrument analyses preclude formal pleiotropy diagnostics such as the MR-Egger intercept.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currently available GWAS do not provide at adequate power. Seventh, coloc.abf was applied under the single-causal-variant assumption without a multi-causal-variant extension, with one European reference allele-frequency vector used for both datasets at every locus including the East Asian discovery outcome, and no formal colocalization power analysis was performed; discovery-arm posteriors should therefore be regarded as approximate. Eighth, the framework included a single positive control, which did not behave uniformly:</w:t>
      </w:r>
      <w:r>
        <w:t xml:space="preserve"> </w:t>
      </w:r>
      <w:r>
        <w:rPr>
          <w:iCs/>
          <w:i/>
        </w:rPr>
        <w:t xml:space="preserve">CTLA4</w:t>
      </w:r>
      <w:r>
        <w:t xml:space="preserve"> </w:t>
      </w:r>
      <w:r>
        <w:t xml:space="preserve">colocalized in the TED-enriched outcome (PP.H4 = 0.978, lead variant rs1863800) but not in discovery (PP.H3 = 0.794, lead variant rs231811). Its recovery as a strong direction-consistent MR signal calibrates the MR component of the screen, but the sensitivity of the combined MR-plus-colocalization filter is not established by one control locus. Finally, the orbital tissue analysis was exploratory, rested on four TED samples and a single control, and was not externally replicated; it provides context rather than confirmation.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this druggable-gene-wide Mendelian randomization, colocalization, and exploratory orbital tissue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non-known druggable gene advanced as a robust novel target after cross-outcome colocalization.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What survives the screen, and where</w:t>
      </w:r>
      <w:r>
        <w:rPr>
          <w:bCs/>
          <w:b/>
        </w:rPr>
        <w:t xml:space="preserve"> </w:t>
      </w:r>
      <w:r>
        <w:rPr>
          <w:iCs/>
          <w:i/>
          <w:bCs/>
          <w:b/>
        </w:rPr>
        <w:t xml:space="preserve">TSHR</w:t>
      </w:r>
      <w:r>
        <w:rPr>
          <w:bCs/>
          <w:b/>
        </w:rPr>
        <w:t xml:space="preserve"> </w:t>
      </w:r>
      <w:r>
        <w:rPr>
          <w:bCs/>
          <w:b/>
        </w:rPr>
        <w:t xml:space="preserve">and</w:t>
      </w:r>
      <w:r>
        <w:rPr>
          <w:bCs/>
          <w:b/>
        </w:rPr>
        <w:t xml:space="preserve"> </w:t>
      </w:r>
      <w:r>
        <w:rPr>
          <w:iCs/>
          <w:i/>
          <w:bCs/>
          <w:b/>
        </w:rPr>
        <w:t xml:space="preserve">IGF1R</w:t>
      </w:r>
      <w:r>
        <w:rPr>
          <w:bCs/>
          <w:b/>
        </w:rPr>
        <w:t xml:space="preserve"> </w:t>
      </w:r>
      <w:r>
        <w:rPr>
          <w:bCs/>
          <w:b/>
        </w:rPr>
        <w:t xml:space="preserve">diverge.</w:t>
      </w:r>
      <w:r>
        <w:t xml:space="preserve"> </w:t>
      </w:r>
      <w:r>
        <w:rPr>
          <w:bCs/>
          <w:b/>
        </w:rPr>
        <w:t xml:space="preserve">(A)</w:t>
      </w:r>
      <w:r>
        <w:t xml:space="preserve"> </w:t>
      </w:r>
      <w:r>
        <w:t xml:space="preserve">Attrition through the druggable-gene-wide screen, labelled by the reason genes were removed. Of 4,462 druggable genes [15], 2,545 carried a valid eQTLGen</w:t>
      </w:r>
      <w:r>
        <w:t xml:space="preserve"> </w:t>
      </w:r>
      <w:r>
        <w:rPr>
          <w:iCs/>
          <w:i/>
        </w:rPr>
        <w:t xml:space="preserve">cis</w:t>
      </w:r>
      <w:r>
        <w:t xml:space="preserve"> </w:t>
      </w:r>
      <w:r>
        <w:t xml:space="preserve">instrument (6,136 instruments) and 2,235 yielded an estimable effect against the BBJ Graves disease discovery outcome; 13 reached the study-wide Bonferroni threshold (</w:t>
      </w:r>
      <w:r>
        <w:rPr>
          <w:iCs/>
          <w:i/>
        </w:rPr>
        <w:t xml:space="preserve">P</w:t>
      </w:r>
      <w:r>
        <w:t xml:space="preserve"> </w:t>
      </w:r>
      <w:r>
        <w:t xml:space="preserve">&lt; 1.965×10⁻⁵). Resolving those 13 (right) leaves no robust novel target: five are MHC-region signals, three fall in a single chromosome 16p11.2 linkage-disequilibrium block rather than representing three independent associations, two colocalized with the discovery outcome only (</w:t>
      </w:r>
      <w:r>
        <w:rPr>
          <w:iCs/>
          <w:i/>
        </w:rPr>
        <w:t xml:space="preserve">TNFSF14</w:t>
      </w:r>
      <w:r>
        <w:t xml:space="preserve"> </w:t>
      </w:r>
      <w:r>
        <w:t xml:space="preserve">and</w:t>
      </w:r>
      <w:r>
        <w:t xml:space="preserve"> </w:t>
      </w:r>
      <w:r>
        <w:rPr>
          <w:iCs/>
          <w:i/>
        </w:rPr>
        <w:t xml:space="preserve">IFNGR1</w:t>
      </w:r>
      <w:r>
        <w:t xml:space="preserve">, PP.H4 0.994 and 0.989 falling to 0.019 in the TED-enriched outcome), one reflects a distinct causal variant (</w:t>
      </w:r>
      <w:r>
        <w:rPr>
          <w:iCs/>
          <w:i/>
        </w:rPr>
        <w:t xml:space="preserve">MAPKAPK5</w:t>
      </w:r>
      <w:r>
        <w:t xml:space="preserve">), and two are established loci retained as the susceptibility anchor (</w:t>
      </w:r>
      <w:r>
        <w:rPr>
          <w:iCs/>
          <w:i/>
        </w:rPr>
        <w:t xml:space="preserve">TSHR</w:t>
      </w:r>
      <w:r>
        <w:t xml:space="preserve">) and the positive control (</w:t>
      </w:r>
      <w:r>
        <w:rPr>
          <w:iCs/>
          <w:i/>
        </w:rPr>
        <w:t xml:space="preserve">CTLA4</w:t>
      </w:r>
      <w:r>
        <w:t xml:space="preserve">). The screen was powered at 80% to detect a median odds ratio of 2.55 (Table S8), so this null excludes further large — but not moderate — expression-mediated effects.</w:t>
      </w:r>
      <w:r>
        <w:t xml:space="preserve"> </w:t>
      </w:r>
      <w:r>
        <w:rPr>
          <w:bCs/>
          <w:b/>
        </w:rPr>
        <w:t xml:space="preserve">(B)</w:t>
      </w:r>
      <w:r>
        <w:t xml:space="preserve"> </w:t>
      </w:r>
      <w:r>
        <w:t xml:space="preserve">The same three evidence layers were applied to</w:t>
      </w:r>
      <w:r>
        <w:t xml:space="preserve"> </w:t>
      </w:r>
      <w:r>
        <w:rPr>
          <w:iCs/>
          <w:i/>
        </w:rPr>
        <w:t xml:space="preserve">TSHR</w:t>
      </w:r>
      <w:r>
        <w:t xml:space="preserve"> </w:t>
      </w:r>
      <w:r>
        <w:t xml:space="preserve">and</w:t>
      </w:r>
      <w:r>
        <w:t xml:space="preserve"> </w:t>
      </w:r>
      <w:r>
        <w:rPr>
          <w:iCs/>
          <w:i/>
        </w:rPr>
        <w:t xml:space="preserve">IGF1R</w:t>
      </w:r>
      <w:r>
        <w:t xml:space="preserve"> </w:t>
      </w:r>
      <w:r>
        <w:t xml:space="preserve">using the same outcome hierarchy and analytic framework, with gene-specific</w:t>
      </w:r>
      <w:r>
        <w:t xml:space="preserve"> </w:t>
      </w:r>
      <w:r>
        <w:rPr>
          <w:iCs/>
          <w:i/>
        </w:rPr>
        <w:t xml:space="preserve">cis</w:t>
      </w:r>
      <w:r>
        <w:t xml:space="preserve">-eQTL instruments.</w:t>
      </w:r>
      <w:r>
        <w:t xml:space="preserve"> </w:t>
      </w:r>
      <w:r>
        <w:rPr>
          <w:iCs/>
          <w:i/>
        </w:rPr>
        <w:t xml:space="preserve">TSHR</w:t>
      </w:r>
      <w:r>
        <w:t xml:space="preserve"> </w:t>
      </w:r>
      <w:r>
        <w:t xml:space="preserve">satisfies all three;</w:t>
      </w:r>
      <w:r>
        <w:t xml:space="preserve"> </w:t>
      </w:r>
      <w:r>
        <w:rPr>
          <w:iCs/>
          <w:i/>
        </w:rPr>
        <w:t xml:space="preserve">IGF1R</w:t>
      </w:r>
      <w:r>
        <w:t xml:space="preserve"> </w:t>
      </w:r>
      <w:r>
        <w:t xml:space="preserve">shows a nominal genetic association in discovery (β = +0.45,</w:t>
      </w:r>
      <w:r>
        <w:t xml:space="preserve"> </w:t>
      </w:r>
      <w:r>
        <w:rPr>
          <w:iCs/>
          <w:i/>
        </w:rPr>
        <w:t xml:space="preserve">P</w:t>
      </w:r>
      <w:r>
        <w:t xml:space="preserve"> </w:t>
      </w:r>
      <w:r>
        <w:t xml:space="preserve">= 0.021) but a</w:t>
      </w:r>
      <w:r>
        <w:t xml:space="preserve"> </w:t>
      </w:r>
      <w:r>
        <w:rPr>
          <w:iCs/>
          <w:i/>
        </w:rPr>
        <w:t xml:space="preserve">cis</w:t>
      </w:r>
      <w:r>
        <w:t xml:space="preserve">-eQTL-only colocalization posterior (PP.H2 = 0.79 and 0.68) and no significant orbital tissue association — the therapeutic target does not display the susceptibility architecture seen at</w:t>
      </w:r>
      <w:r>
        <w:t xml:space="preserve"> </w:t>
      </w:r>
      <w:r>
        <w:rPr>
          <w:iCs/>
          <w:i/>
        </w:rPr>
        <w:t xml:space="preserve">TSHR</w:t>
      </w:r>
      <w:r>
        <w:t xml:space="preserve">. Tissue evidence is exploratory (four TED, one control).</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the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w:t>
      </w:r>
      <w:r>
        <w:rPr>
          <w:iCs/>
          <w:i/>
        </w:rPr>
        <w:t xml:space="preserve">cis</w:t>
      </w:r>
      <w:r>
        <w:t xml:space="preserve">-eQTL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(a</w:t>
      </w:r>
      <w:r>
        <w:t xml:space="preserve"> </w:t>
      </w:r>
      <w:r>
        <w:rPr>
          <w:iCs/>
          <w:i/>
        </w:rPr>
        <w:t xml:space="preserve">cis</w:t>
      </w:r>
      <w:r>
        <w:t xml:space="preserve">-eQTL signal without a detectable outcome association);</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directionally consistent risk-direction estimates, with nominal significance in BBJ and UKB but not FinnGen.</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w:t>
      </w:r>
      <w:r>
        <w:t xml:space="preserve"> </w:t>
      </w:r>
      <w:r>
        <w:rPr>
          <w:iCs/>
          <w:i/>
        </w:rPr>
        <w:t xml:space="preserve">TSHR</w:t>
      </w:r>
      <w:r>
        <w:t xml:space="preserve"> </w:t>
      </w:r>
      <w:r>
        <w:t xml:space="preserve">showed an exploratory differential-expression signal (log2FC = +2.33, adjusted</w:t>
      </w:r>
      <w:r>
        <w:t xml:space="preserve"> </w:t>
      </w:r>
      <w:r>
        <w:rPr>
          <w:iCs/>
          <w:i/>
        </w:rPr>
        <w:t xml:space="preserve">P</w:t>
      </w:r>
      <w:r>
        <w:t xml:space="preserve"> </w:t>
      </w:r>
      <w:r>
        <w:t xml:space="preserve">= 0.032), which is not confirmatory because the analysis included only one control sample;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(a cis-eQTL signal without a detectable outcome association).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TED-enriched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TED-enriched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TED-enriched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TED-enriched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eQTL-only pattern (high PP.H2) in the TED-enriched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(blood eQTL vs orbital tissue; European eQTL vs East Asian discovery; broader UKB phenotype; single-IV</w:t>
            </w:r>
            <w:r>
              <w:t xml:space="preserve"> </w:t>
            </w:r>
            <w:r>
              <w:rPr>
                <w:iCs/>
                <w:i/>
              </w:rPr>
              <w:t xml:space="preserve">TSHR</w:t>
            </w:r>
            <w:r>
              <w:t xml:space="preserve">; limited power in the 858-case TED-enriched outcome; TED-enriched outcome is not a within-Graves TED-specific contrast; coloc single-causal-variant assumption and single European allele-frequency reference; no formal colocalization power analysis; non-uniform behaviour of the single positive control; exploratory n = 1-control tissue analysis)</w:t>
            </w:r>
          </w:p>
        </w:tc>
        <w:tc>
          <w:tcPr/>
          <w:p>
            <w:pPr>
              <w:pStyle w:val="Compact"/>
              <w:jc w:val="left"/>
            </w:pPr>
            <w:r>
              <w:t xml:space="preserve">Discussion (limitations paragraph)</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numPr>
          <w:ilvl w:val="0"/>
          <w:numId w:val="1003"/>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TED-enriched).</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2,235</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(TED-enriched)</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backbone gene across multiple evidence layers rather than on discovery significance alone. Conversely, the absence of a robust novel target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w:t>
      </w:r>
      <w:r>
        <w:rPr>
          <w:iCs/>
          <w:i/>
        </w:rPr>
        <w:t xml:space="preserve">cis</w:t>
      </w:r>
      <w:r>
        <w:t xml:space="preserve">-eQTL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TED-enriched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2026-08-23T14:07:26Z</dcterms:created>
  <dcterms:modified xsi:type="dcterms:W3CDTF">2026-08-23T14:07:26Z</dcterms:modified>
</cp:coreProperties>
</file>

<file path=docProps/custom.xml><?xml version="1.0" encoding="utf-8"?>
<Properties xmlns="http://schemas.openxmlformats.org/officeDocument/2006/custom-properties" xmlns:vt="http://schemas.openxmlformats.org/officeDocument/2006/docPropsVTypes"/>
</file>