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is sometimes read as evidence that</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1.09×10⁻¹⁴) and FinnGen GD (</w:t>
      </w:r>
      <w:r>
        <w:rPr>
          <w:iCs/>
          <w:i/>
          <w:color w:val="000000"/>
        </w:rPr>
        <w:t xml:space="preserve">P</w:t>
      </w:r>
      <w:r>
        <w:rPr>
          <w:color w:val="000000"/>
        </w:rPr>
        <w:t xml:space="preserve"> </w:t>
      </w:r>
      <w:r>
        <w:rPr>
          <w:color w:val="000000"/>
        </w:rPr>
        <w:t xml:space="preserve">= 3.19×10⁻³²), in the same direction in all five datasets. Colocalization supported a shared causal variant in Biobank Japan and both ophthalmopathy endpoints but favoured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labelled as such.</w:t>
      </w:r>
    </w:p>
    <w:p>
      <w:pPr>
        <w:pStyle w:val="BodyText"/>
        <w:spacing w:after="80"/>
      </w:pPr>
      <w:r>
        <w:rPr>
          <w:color w:val="000000"/>
        </w:rPr>
        <w:t xml:space="preserve">The submission includes three main tables, three main figures, a supplement with three tables and two figures, a single results workbook and a completed STROBE-MR checklist.</w:t>
      </w:r>
    </w:p>
    <w:p>
      <w:pPr>
        <w:pStyle w:val="BodyText"/>
        <w:spacing w:after="80"/>
      </w:pPr>
      <w:r>
        <w:rPr>
          <w:color w:val="000000"/>
        </w:rPr>
        <w:t xml:space="preserve">An earlier, narrower version was considered at thyroid-focused journals; the work was subsequently restructured around the broader genetic screen. The orbital dataset also supports a different, whole-transcriptome question in a separate manuscript under review elsewhere. Here only three genes are described, and no genome-wide expression or pathway catalogue is presented. The companion manuscript can be provided for assessment of overlap.</w:t>
      </w:r>
    </w:p>
    <w:p>
      <w:pPr>
        <w:pStyle w:val="BodyText"/>
        <w:spacing w:after="80"/>
      </w:pPr>
      <w:r>
        <w:rPr>
          <w:color w:val="000000"/>
        </w:rPr>
        <w:t xml:space="preserve">This manuscript has not been published and is not under consideration elsewhere. The authors report no specific funding and no competing interests. The orbital component received Pusan National University Hospital IRB approval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2026-10-14T01:16:43Z</dcterms:created>
  <dcterms:modified xsi:type="dcterms:W3CDTF">2026-10-14T01:16:43Z</dcterms:modified>
  <cp:lastModifiedBy/>
  <dc:description/>
</cp:coreProperties>
</file>

<file path=docProps/custom.xml><?xml version="1.0" encoding="utf-8"?>
<Properties xmlns="http://schemas.openxmlformats.org/officeDocument/2006/custom-properties" xmlns:vt="http://schemas.openxmlformats.org/officeDocument/2006/docPropsVTypes"/>
</file>