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STROBE-MR reporting crosswalk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848"/>
      </w:tblGrid>
      <w:tr>
        <w:trPr>
          <w:tblHeader/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STROBE-MR item(s)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shd w:fill="EDF0F2"/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/>
                <w:color w:val="000000"/>
                <w:sz w:val="19"/>
              </w:rPr>
              <w:t>Location / reporting status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 Title and abstract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MR associations and colocalization results, including non-colocalization in UKB and FinnGen GD, stated in Abstract; title identifies genes and diseases.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2–3 Background and objectives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Introduction; comparative TSHR/IGF1R susceptibility question, not treatment efficacy.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4 Study design and sources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Methods; Table 1; original vs post hoc analyses and revised reporting emphasis distinguished. No prospective registration.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5 Assumptions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Introduction, Methods and Limitations: relevance, pleiotropy limitations, ancestry transfer and tissue relevance.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6 Statistical methods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Wald/IVW, harmonization, effect reconstruction, thresholds, coloc hypotheses and priors in Methods/Supplementary Methods.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7 Assessment of assumptions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F statistics, Q, original alternative estimators, variant coverage; direct confounding/pleiotropy validation unavailable.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8 Sensitivity analyses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i w:val="0"/>
                <w:color w:val="000000"/>
                <w:sz w:val="19"/>
              </w:rPr>
              <w:t>Frequency, windows, priors, omissions, allele audit and fixed GTEx panel. No multi-signal coloc or Steiger test.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9 Software and registration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Methods; pinned R/package versions; no prospective study registration.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10 Descriptive data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Table 1; 2,544 eligible genes; estimable counts; case/control counts. Individual demographics not available.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11 Main results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Results: TSHR/IGF1R associations and corroborating genes; Table 2 (15 comparisons), Table 3A–C, Figures 1–3 and full workbook.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12 Assumption assessment results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Instrument heterogeneity/concentration and coloc discordance described in Results; limitations retained.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13 Sensitivity results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i w:val="0"/>
                <w:color w:val="000000"/>
                <w:sz w:val="19"/>
              </w:rPr>
              <w:t>Tables S1–S3; Figure S2; workbook frequency, omission, detection, allele and tissue sheets, including all 50 planned tissue comparisons.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14 Key results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Opening Discussion and Conclusions: consistent TSHR associations and limited IGF1R evidence; no expression-mediated causal proof.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15 Limitations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Two paragraphs; selection, overlap, ancestry, tissue, coverage, instruments, single-signal model and unperformed tests.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16 Interpretation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Eight Discussion paragraphs; A-subunit and orbital fibroblast evidence is external biological context. No GD/TED independence or treatment-prediction claim.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17 Generalizability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Blood exposure, ancestry and phenotype limitations; no patient-level subgroup conclusions.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18 Funding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Declarations (Funding).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19 Data and sharing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Supplementary Dataset and source repositories (Data availability); analysis code available from the corresponding author on reasonable request.</w:t>
            </w:r>
          </w:p>
        </w:tc>
      </w:tr>
      <w:tr>
        <w:trPr>
          <w:cantSplit/>
        </w:trPr>
        <w:tc>
          <w:tcPr>
            <w:tcW w:type="dxa" w:w="2232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20 Conflicts</w:t>
            </w:r>
          </w:p>
        </w:tc>
        <w:tc>
          <w:tcPr>
            <w:tcW w:type="dxa" w:w="7848"/>
            <w:tcMar>
              <w:top w:w="65" w:type="dxa"/>
              <w:left w:w="65" w:type="dxa"/>
              <w:bottom w:w="65" w:type="dxa"/>
              <w:right w:w="65" w:type="dxa"/>
            </w:tcMar>
            <w:tcBorders>
              <w:bottom w:val="single" w:sz="4" w:color="BFC6CA"/>
            </w:tcBorders>
          </w:tcPr>
          <w:p>
            <w:pPr>
              <w:spacing w:after="40" w:before="40" w:line="252" w:lineRule="auto"/>
            </w:pPr>
            <w:r>
              <w:rPr>
                <w:b w:val="0"/>
                <w:color w:val="000000"/>
                <w:sz w:val="19"/>
              </w:rPr>
              <w:t>Declarations (Conflict of interest).</w:t>
            </w:r>
          </w:p>
        </w:tc>
      </w:tr>
    </w:tbl>
    <w:p>
      <w:pPr>
        <w:spacing w:before="160"/>
      </w:pPr>
      <w:r>
        <w:rPr>
          <w:sz w:val="18"/>
        </w:rPr>
        <w:t>This crosswalk documents what is and is not reported; it is not certification of methodological validity or an official journal form.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40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40" w:line="300" w:lineRule="auto"/>
    </w:pPr>
    <w:rPr>
      <w:rFonts w:ascii="Times New Roman" w:hAnsi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TSHR and IGF1R in Graves disease and thyroid eye disease: genetic evidence from blood expression</dc:title>
  <dc:subject/>
  <dc:creator>Jungyul Park and colleagues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