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
    <w:p>
      <w:pPr>
        <w:pStyle w:val="Heading2"/>
      </w:pPr>
      <w:r>
        <w:rPr>
          <w:color w:val="000000"/>
        </w:rPr>
        <w:t xml:space="preserve">Table 1. Data sources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980"/>
        <w:gridCol w:w="1980"/>
        <w:gridCol w:w="1980"/>
        <w:gridCol w:w="198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Exposure or clinical role</w:t>
            </w:r>
          </w:p>
        </w:tc>
      </w:tr>
      <w:tr>
        <w:trPr>
          <w:cantSplit/>
        </w:trPr>
        <w:tc>
          <w:tcPr/>
          <w:p>
            <w:pPr>
              <w:pStyle w:val="Compact"/>
              <w:spacing w:line="240" w:lineRule="auto" w:after="20" w:before="20"/>
              <w:jc w:val="left"/>
            </w:pPr>
            <w:r>
              <w:rPr>
                <w:rFonts w:ascii="Times New Roman" w:hAnsi="Times New Roman"/>
                <w:sz w:val="18"/>
              </w:rPr>
              <w:t xml:space="preserve">eQTLGen blood expression</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GD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Self-report;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definition sensitivity; Finnish</w:t>
            </w:r>
          </w:p>
        </w:tc>
      </w:tr>
    </w:tbl>
    <w:p>
      <w:pPr>
        <w:pStyle w:val="BodyText"/>
        <w:spacing w:line="264" w:lineRule="auto" w:after="120"/>
      </w:pPr>
      <w:r>
        <w:rPr>
          <w:color w:val="000000"/>
          <w:sz w:val="18"/>
        </w:rPr>
        <w:t xml:space="preserve">GD, Graves disease; GO, Graves ophthalmopathy; HT, hyperthyroidism/thyrotoxicosis. The three FinnGen R12 endpoints overlap and use population non-cases for their respective definitions. Strict is the source endpoint label, not proof of perfect specificity. The descriptive orbital series (four TED patients, one control) is separate from the genetic datasets.</w:t>
      </w:r>
    </w:p>
    <w:bookmarkEnd w:id="20"/>
    <w:bookmarkStart w:id="21" w:name="table-2.-tshr-igf1r-and-ctla4"/>
    <w:p>
      <w:pPr>
        <w:pStyle w:val="Heading2"/>
        <w:pageBreakBefore/>
      </w:pPr>
      <w:r>
        <w:rPr>
          <w:color w:val="000000"/>
        </w:rPr>
        <w:t xml:space="preserve">Table 2.</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90"/>
        <w:gridCol w:w="990"/>
        <w:gridCol w:w="990"/>
        <w:gridCol w:w="990"/>
        <w:gridCol w:w="990"/>
        <w:gridCol w:w="990"/>
        <w:gridCol w:w="990"/>
        <w:gridCol w:w="99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bCs/>
                <w:rFonts w:ascii="Times New Roman" w:hAnsi="Times New Roman"/>
                <w:b/>
                <w:sz w:val="18"/>
              </w:rPr>
              <w:t xml:space="preserve">1.09×10⁻¹⁴</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bCs/>
                <w:rFonts w:ascii="Times New Roman" w:hAnsi="Times New Roman"/>
                <w:b/>
                <w:sz w:val="18"/>
              </w:rPr>
              <w:t xml:space="preserve">3.19×10⁻³²</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bCs/>
                <w:rFonts w:ascii="Times New Roman" w:hAnsi="Times New Roman"/>
                <w:b/>
                <w:sz w:val="18"/>
              </w:rPr>
              <w:t xml:space="preserve">8.77×10⁻²⁸</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bCs/>
                <w:rFonts w:ascii="Times New Roman" w:hAnsi="Times New Roman"/>
                <w:b/>
                <w:sz w:val="18"/>
              </w:rPr>
              <w:t xml:space="preserve">2.82×10⁻⁷</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bCs/>
                <w:rFonts w:ascii="Times New Roman" w:hAnsi="Times New Roman"/>
                <w:b/>
                <w:sz w:val="18"/>
              </w:rPr>
              <w:t xml:space="preserve">9.02×10⁻⁵</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bCs/>
                <w:rFonts w:ascii="Times New Roman" w:hAnsi="Times New Roman"/>
                <w:b/>
                <w:sz w:val="18"/>
              </w:rPr>
              <w:t xml:space="preserve">0.0212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HT</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bCs/>
                <w:rFonts w:ascii="Times New Roman" w:hAnsi="Times New Roman"/>
                <w:b/>
                <w:sz w:val="18"/>
              </w:rPr>
              <w:t xml:space="preserve">0.0117</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bCs/>
                <w:rFonts w:ascii="Times New Roman" w:hAnsi="Times New Roman"/>
                <w:b/>
                <w:sz w:val="18"/>
              </w:rPr>
              <w:t xml:space="preserve">5.45×10⁻¹⁵</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bCs/>
                <w:rFonts w:ascii="Times New Roman" w:hAnsi="Times New Roman"/>
                <w:b/>
                <w:sz w:val="18"/>
              </w:rPr>
              <w:t xml:space="preserve">2.15×10⁻⁶</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bCs/>
                <w:rFonts w:ascii="Times New Roman" w:hAnsi="Times New Roman"/>
                <w:b/>
                <w:sz w:val="18"/>
              </w:rPr>
              <w:t xml:space="preserve">0.00220</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bCs/>
                <w:rFonts w:ascii="Times New Roman" w:hAnsi="Times New Roman"/>
                <w:b/>
                <w:sz w:val="18"/>
              </w:rPr>
              <w:t xml:space="preserve">0.0118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bCs/>
                <w:rFonts w:ascii="Times New Roman" w:hAnsi="Times New Roman"/>
                <w:b/>
                <w:sz w:val="18"/>
              </w:rPr>
              <w:t xml:space="preserve">0.00888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r>
    </w:tbl>
    <w:p>
      <w:pPr>
        <w:pStyle w:val="BodyText"/>
        <w:spacing w:line="264" w:lineRule="auto" w:after="120"/>
      </w:pPr>
      <w:r>
        <w:rPr>
          <w:color w:val="000000"/>
          <w:sz w:val="18"/>
        </w:rPr>
        <w:t xml:space="preserve">IVs, instrumental variables (retained genetic variants). Wald ratio for one IV; random-effects IVW for multiple IVs. ORs are per approximately one SD higher reconstructed blood expression. Bold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denote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only. Discovery uses 0.05/2,544. PP.H2 supports an expression-only signal; PP.H3 supports distinct variants; PP.H4 supports one shared variant. Bold PP.H4 denotes ≥0.80 under p12 = 10⁻⁵. These are probabilities,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results are concentrated in rs13030124;</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is single-IV in all datasets.</w:t>
      </w:r>
    </w:p>
    <w:bookmarkEnd w:id="21"/>
    <w:bookmarkStart w:id="25" w:name="table-3.-screen-and-supporting-analyses"/>
    <w:p>
      <w:pPr>
        <w:pStyle w:val="Heading2"/>
        <w:pageBreakBefore/>
      </w:pPr>
      <w:r>
        <w:rPr>
          <w:color w:val="000000"/>
        </w:rPr>
        <w:t xml:space="preserve">Table 3. Screen and supporting analyses</w:t>
      </w:r>
    </w:p>
    <w:bookmarkStart w:id="22" w:name="X3499dbbf80eb550f389ea95c0a786530fbe335b"/>
    <w:p>
      <w:pPr>
        <w:pStyle w:val="Heading3"/>
      </w:pPr>
      <w:r>
        <w:rPr>
          <w:color w:val="000000"/>
        </w:rPr>
        <w:t xml:space="preserve">A. BBJ discoveries and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131"/>
        <w:gridCol w:w="1131"/>
        <w:gridCol w:w="1131"/>
        <w:gridCol w:w="1131"/>
        <w:gridCol w:w="1131"/>
        <w:gridCol w:w="1131"/>
        <w:gridCol w:w="1131"/>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2.60×10⁻²³</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8.30×10⁻¹⁷</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1.41×10⁻¹⁷</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5.45×10⁻¹⁵</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2.15×10⁻⁶</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1.09×10⁻¹⁴</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3.19×10⁻³²</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2.23×10⁻¹⁰</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4.97×10⁻⁵</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2.04×10⁻⁷</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3.14×10⁻⁷</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2.68×10⁻⁷</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6.35×10⁻⁷</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1.48×10⁻⁶</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2.02×10⁻⁶</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5.28×10⁻⁶</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6.86×10⁻⁶</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9.41×10⁻⁶</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bookmarkEnd w:id="22"/>
    <w:bookmarkStart w:id="23" w:name="b.-additional-finngen-gd-discoveries"/>
    <w:p>
      <w:pPr>
        <w:pStyle w:val="Heading3"/>
      </w:pPr>
      <w:r>
        <w:rPr>
          <w:color w:val="000000"/>
        </w:rPr>
        <w:t xml:space="preserve">B. Additional FinnGen GD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131"/>
        <w:gridCol w:w="1131"/>
        <w:gridCol w:w="1131"/>
        <w:gridCol w:w="1131"/>
        <w:gridCol w:w="1131"/>
        <w:gridCol w:w="1131"/>
        <w:gridCol w:w="1131"/>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Additional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1.43×10⁻¹⁰⁸</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1.43×10⁻¹⁰⁸</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7.52×10⁻¹²</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7.52×10⁻¹²</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4.65×10⁻¹⁰</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1.51×10⁻⁹</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3.75×10⁻⁸</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4.89×10⁻⁷</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1.10×10⁻⁵</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bookmarkEnd w:id="23"/>
    <w:bookmarkStart w:id="24" w:name="c.-frequency-sensitive-results"/>
    <w:p>
      <w:pPr>
        <w:pStyle w:val="Heading3"/>
        <w:pageBreakBefore/>
      </w:pPr>
      <w:r>
        <w:rPr>
          <w:color w:val="000000"/>
        </w:rPr>
        <w:t xml:space="preserve">C. Frequency-sensitive results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320"/>
        <w:gridCol w:w="1320"/>
        <w:gridCol w:w="1320"/>
        <w:gridCol w:w="1320"/>
        <w:gridCol w:w="1320"/>
        <w:gridCol w:w="132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GD analysis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Reference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Reference</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Cohort-frequency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Cohort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Interpretation</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1.10×10⁻⁵</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1.48×10⁻⁴</w:t>
            </w:r>
          </w:p>
        </w:tc>
        <w:tc>
          <w:tcPr/>
          <w:p>
            <w:pPr>
              <w:pStyle w:val="Compact"/>
              <w:spacing w:line="240" w:lineRule="auto" w:after="20" w:before="20"/>
              <w:jc w:val="left"/>
            </w:pPr>
            <w:r>
              <w:rPr>
                <w:rFonts w:ascii="Times New Roman" w:hAnsi="Times New Roman"/>
                <w:sz w:val="18"/>
              </w:rPr>
              <w:t xml:space="preserve">Heterogeneous; loses screen significance</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1.72×10⁻⁵</w:t>
            </w:r>
          </w:p>
        </w:tc>
        <w:tc>
          <w:tcPr/>
          <w:p>
            <w:pPr>
              <w:pStyle w:val="Compact"/>
              <w:spacing w:line="240" w:lineRule="auto" w:after="20" w:before="20"/>
              <w:jc w:val="left"/>
            </w:pPr>
            <w:r>
              <w:rPr>
                <w:rFonts w:ascii="Times New Roman" w:hAnsi="Times New Roman"/>
                <w:sz w:val="18"/>
              </w:rPr>
              <w:t xml:space="preserve">Weight-sensitive; single-variant dependence</w:t>
            </w:r>
          </w:p>
        </w:tc>
      </w:tr>
    </w:tbl>
    <w:p>
      <w:pPr>
        <w:pStyle w:val="BodyText"/>
        <w:spacing w:line="264" w:lineRule="auto" w:after="120"/>
      </w:pPr>
      <w:r>
        <w:rPr>
          <w:color w:val="000000"/>
          <w:sz w:val="18"/>
        </w:rPr>
        <w:t xml:space="preserve">Panel A: focused support requires concordant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NA is unavailable, not a negative result. Panel B: nine additional reference-frequency FinnGen GD discoveries at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post hoc and not independent of the full screen. Seven of the nine are instrumented within the extended MHC region on chromosome 6.</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Panel C:</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of frequency sensitivity, not primary discovery. Neither</w:t>
      </w:r>
      <w:r>
        <w:rPr>
          <w:color w:val="000000"/>
          <w:sz w:val="18"/>
        </w:rPr>
        <w:t xml:space="preserve"> </w:t>
      </w:r>
      <w:r>
        <w:rPr>
          <w:iCs/>
          <w:i/>
          <w:color w:val="000000"/>
          <w:sz w:val="18"/>
        </w:rPr>
        <w:t xml:space="preserve">C4B</w:t>
      </w:r>
      <w:r>
        <w:rPr>
          <w:color w:val="000000"/>
          <w:sz w:val="18"/>
        </w:rPr>
        <w:t xml:space="preserve"> </w:t>
      </w:r>
      <w:r>
        <w:rPr>
          <w:color w:val="000000"/>
          <w:sz w:val="18"/>
        </w:rPr>
        <w:t xml:space="preserve">nor</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gains strong GD colocalization. All 24 genes and five datasets are available in the workbook.</w:t>
      </w:r>
    </w:p>
    <w:bookmarkEnd w:id="24"/>
    <w:bookmarkEnd w:id="25"/>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Kyung-Hwa Shin; Suk-Woo Yang</dc:creator>
  <cp:keywords/>
  <dcterms:created xsi:type="dcterms:W3CDTF">2026-10-14T01:16:33Z</dcterms:created>
  <dcterms:modified xsi:type="dcterms:W3CDTF">2026-10-14T01:16:33Z</dcterms:modified>
  <cp:lastModifiedBy/>
  <dc:description/>
</cp:coreProperties>
</file>

<file path=docProps/custom.xml><?xml version="1.0" encoding="utf-8"?>
<Properties xmlns="http://schemas.openxmlformats.org/officeDocument/2006/custom-properties" xmlns:vt="http://schemas.openxmlformats.org/officeDocument/2006/docPropsVTypes"/>
</file>