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p>
    <w:p>
      <w:pPr>
        <w:pStyle w:val="BodyText"/>
      </w:pPr>
      <w:r>
        <w:rPr>
          <w:color w:val="000000"/>
        </w:rPr>
        <w:t xml:space="preserve">† These authors contributed equally to this work as first authors.</w:t>
      </w:r>
      <w:r>
        <w:rPr>
          <w:color w:val="000000"/>
        </w:rPr>
        <w:br/>
      </w:r>
      <w:r>
        <w:rPr>
          <w:color w:val="000000"/>
        </w:rPr>
        <w:t xml:space="preserve">* Corresponding author.</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Exposure data were whole-blood expression quantitative trait locus (eQTL; a variant associated with gene expression) statistics from predominantly European eQTLGen participants [13]. The original outcomes were BBJ GD, UKB self-reported hyperthyroidism or thyrotoxicosis, and Graves ophthalmopathy in FinnGen release 12 (FinnGen ophthalmopathy) [14, 15, 16]. We later added two FinnGen endpoints: E4_GRAVES_STRICT (FinnGen GD) and E4_GRAVES_OPHT_STRICT (strict ophthalmopathy). Table 1 gives case and control counts. UKB ancestry was not established as exclusively European.</w:t>
      </w:r>
    </w:p>
    <w:p>
      <w:pPr>
        <w:pStyle w:val="BodyText"/>
      </w:pPr>
      <w:r>
        <w:rPr>
          <w:color w:val="000000"/>
        </w:rPr>
        <w:t xml:space="preserve">BBJ was the discovery dataset, FinnGen GD a same-disease comparison, UKB a broader-phenotype comparison, FinnGen ophthalmopathy a TED-enriched comparison and strict ophthalmopathy a definition sensitivity analysis. The three FinnGen endpoints share participants and were neither treated as independent replications nor meta-analyzed. Their controls were all other participants, not GD patients without TED. The FinnGen extensions, expanded candidate assessment and instrument diagnostics were post hoc; the study was not prospectively registered. Analyses used R 4.3.3, TwoSampleMR 0.7.4, coloc 5.2.3 and PLINK 1.9, with independent numerical verification in Python.</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For 4,462 potentially druggable genes [17], instruments (variants used to represent a gene’s expression) were blood eQTLs with</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(cis-eQTLs). PLINK clumping kept only uncorrelated variants (linkage disequilibrium [LD] r² &lt; 0.001 within 10 Mb, in 503 European participants from 1000 Genomes Phase 3) [18, 19]. This gave 6,135 single-nucleotide polymorphism (SNP)–gene pairs for 2,544 genes (minimum F statistic 29.7; F &gt; 10 is the usual threshold for adequate instrument strength), and the extended major histocompatibility complex region was not excluded. Variant effects on expression, in standard deviation units, were derived from eQTLGen Z statistics, sample sizes and 1000 Genomes European allele frequencies [20]. TwoSampleMR aligned exposure and disease effects to the same allele, excluding unavailable and strand-ambiguous (palindromic) variants. UKB linear-model estimates were rescaled using the case proportion to approximate the log-odds scale of BBJ and FinnGen (Supplementary Methods).</w:t>
      </w:r>
    </w:p>
    <w:p>
      <w:pPr>
        <w:pStyle w:val="BodyText"/>
      </w:pPr>
      <w:r>
        <w:rPr>
          <w:color w:val="000000"/>
        </w:rPr>
        <w:t xml:space="preserve">For each gene and dataset, MR used the Wald ratio (disease effect divided by expression effect) for one instrument and, for several, multiplicative random-effects inverse-variance weighting (IVW), a precision-weighted average [21]. Estimates are ORs per approximately one standard deviation higher genetically proxied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The BBJ screen threshold was Bonferroni-corrected for all 2,544 instrumented genes, estimable or not (</w:t>
      </w:r>
      <w:r>
        <w:rPr>
          <w:iCs/>
          <w:i/>
          <w:color w:val="000000"/>
        </w:rPr>
        <w:t xml:space="preserve">P</w:t>
      </w:r>
      <w:r>
        <w:rPr>
          <w:color w:val="000000"/>
        </w:rPr>
        <w:t xml:space="preserve"> </w:t>
      </w:r>
      <w:r>
        <w:rPr>
          <w:color w:val="000000"/>
        </w:rPr>
        <w:t xml:space="preserve">&lt; 0.05/2,544 = 1.965×10</w:t>
      </w:r>
      <w:r>
        <w:rPr>
          <w:color w:val="000000"/>
          <w:vertAlign w:val="superscript"/>
        </w:rPr>
        <w:t xml:space="preserve">−5</w:t>
      </w:r>
      <w:r>
        <w:rPr>
          <w:color w:val="000000"/>
        </w:rPr>
        <w:t xml:space="preserve">); it was applied descriptively to the other datasets and in an exploratory full FinnGen GD screen. The 13 BBJ discoveries were assessed at a focused FinnGen GD threshold (</w:t>
      </w:r>
      <w:r>
        <w:rPr>
          <w:iCs/>
          <w:i/>
          <w:color w:val="000000"/>
        </w:rPr>
        <w:t xml:space="preserve">P</w:t>
      </w:r>
      <w:r>
        <w:rPr>
          <w:color w:val="000000"/>
        </w:rPr>
        <w:t xml:space="preserve"> </w:t>
      </w:r>
      <w:r>
        <w:rPr>
          <w:color w:val="000000"/>
        </w:rPr>
        <w:t xml:space="preserve">&lt; 0.05/13 and the same direction). Nominal (uncorrected)</w:t>
      </w:r>
      <w:r>
        <w:rPr>
          <w:color w:val="000000"/>
        </w:rPr>
        <w:t xml:space="preserve"> </w:t>
      </w:r>
      <w:r>
        <w:rPr>
          <w:iCs/>
          <w:i/>
          <w:color w:val="000000"/>
        </w:rPr>
        <w:t xml:space="preserve">P</w:t>
      </w:r>
      <w:r>
        <w:rPr>
          <w:color w:val="000000"/>
        </w:rPr>
        <w:t xml:space="preserve"> </w:t>
      </w:r>
      <w:r>
        <w:rPr>
          <w:color w:val="000000"/>
        </w:rPr>
        <w:t xml:space="preserve">&lt; 0.05 was reported descriptively. ORs detectable with 80% power were approximated from observed standard errors (Supplementary Methods).</w:t>
      </w:r>
    </w:p>
    <w:p>
      <w:pPr>
        <w:pStyle w:val="BodyText"/>
      </w:pPr>
      <w:r>
        <w:rPr>
          <w:color w:val="000000"/>
        </w:rPr>
        <w:t xml:space="preserve">MR assumes that instruments predict expression, are unrelated to confounders of expression and disease, and affect disease only through that gene’s expression.</w:t>
      </w:r>
    </w:p>
    <w:p>
      <w:pPr>
        <w:pStyle w:val="BodyText"/>
      </w:pPr>
      <w:r>
        <w:rPr>
          <w:color w:val="000000"/>
        </w:rPr>
        <w:t xml:space="preserve">For estimates with several instruments, Cochran’s Q test assessed heterogeneity among instruments and, for selected genes, post hoc omission of each instrument in turn (leave-one-out) assessed dependence on single variants. MR-Egger regression, whose intercept tests whether instruments affect disease through other pathways (directional pleiotropy), and weighted-median and weighted-mode estimators [22, 23] were applied only in the original three datasets (Supplementary Dataset, MR_estimators_original). Analyses were repeated with exposure effects reconstructed from eQTLGen cohort allele frequencies;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whose FinnGen GD screen result changed, instrument weights and omissions were compared between frequency sources (Supplementary Methods).</w:t>
      </w:r>
    </w:p>
    <w:p>
      <w:pPr>
        <w:pStyle w:val="BodyText"/>
      </w:pPr>
      <w:r>
        <w:rPr>
          <w:color w:val="000000"/>
        </w:rPr>
        <w:t xml:space="preserve">In a post hoc audit, rs179252 and rs179247 (the variant examined in published thymic</w:t>
      </w:r>
      <w:r>
        <w:rPr>
          <w:color w:val="000000"/>
        </w:rPr>
        <w:t xml:space="preserve"> </w:t>
      </w:r>
      <w:r>
        <w:rPr>
          <w:iCs/>
          <w:i/>
          <w:color w:val="000000"/>
        </w:rPr>
        <w:t xml:space="preserve">TSHR</w:t>
      </w:r>
      <w:r>
        <w:rPr>
          <w:color w:val="000000"/>
        </w:rPr>
        <w:t xml:space="preserve"> </w:t>
      </w:r>
      <w:r>
        <w:rPr>
          <w:color w:val="000000"/>
        </w:rPr>
        <w:t xml:space="preserve">studies) were re-extracted from the original expression and disease files. Disease effects were aligned to the blood expression-increasing allele to give per-allele ORs and recalculate the MR estimates, and the correlation between the two variants’ G-allele counts was calculated in European and East Asian 1000 Genomes genotypes. The audit checked allele direction, not thymic mediation (Supplementary Dataset, TSHR_allele_audit).</w:t>
      </w:r>
    </w:p>
    <w:bookmarkEnd w:id="23"/>
    <w:bookmarkStart w:id="24" w:name="colocalization"/>
    <w:p>
      <w:pPr>
        <w:pStyle w:val="Heading3"/>
      </w:pPr>
      <w:r>
        <w:rPr>
          <w:color w:val="000000"/>
        </w:rPr>
        <w:t xml:space="preserve">Colocalization</w:t>
      </w:r>
    </w:p>
    <w:p>
      <w:pPr>
        <w:pStyle w:val="FirstParagraph"/>
      </w:pPr>
      <w:r>
        <w:rPr>
          <w:color w:val="000000"/>
        </w:rPr>
        <w:t xml:space="preserve">MR associations are the main findings, and colocalization was used to interpret them; the original analysis reported both in parallel, and this emphasis was adopted post hoc without prospective registration. We used coloc.abf, which assumes at most one causal variant per trait, with all available eQTLGen cis-eQTL statistics for each gene, significant or not, matched to each disease dataset [8]. It was applied to 24 genes: the 13 BBJ discoveries,</w:t>
      </w:r>
      <w:r>
        <w:rPr>
          <w:color w:val="000000"/>
        </w:rPr>
        <w:t xml:space="preserve"> </w:t>
      </w:r>
      <w:r>
        <w:rPr>
          <w:iCs/>
          <w:i/>
          <w:color w:val="000000"/>
        </w:rPr>
        <w:t xml:space="preserve">IGF1R</w:t>
      </w:r>
      <w:r>
        <w:rPr>
          <w:color w:val="000000"/>
        </w:rPr>
        <w:t xml:space="preserve">, the nine additional FinnGen GD screen discoveries and</w:t>
      </w:r>
      <w:r>
        <w:rPr>
          <w:color w:val="000000"/>
        </w:rPr>
        <w:t xml:space="preserve"> </w:t>
      </w:r>
      <w:r>
        <w:rPr>
          <w:iCs/>
          <w:i/>
          <w:color w:val="000000"/>
        </w:rPr>
        <w:t xml:space="preserve">HLA-G</w:t>
      </w:r>
      <w:r>
        <w:rPr>
          <w:color w:val="000000"/>
        </w:rPr>
        <w:t xml:space="preserve">, added because its MR result changed with the allele-frequency source. Posterior probabilities (PP.H0–PP.H4) were estimated for five hypotheses: neither trait associated (H0), disease only (H1), expression only (H2), distinct causal variants (H3) and one shared causal variant (H4). Prior probabilities that a variant is associated with disease (p1), expression (p2) or both (p12) were 10</w:t>
      </w:r>
      <w:r>
        <w:rPr>
          <w:color w:val="000000"/>
          <w:vertAlign w:val="superscript"/>
        </w:rPr>
        <w:t xml:space="preserve">−4</w:t>
      </w:r>
      <w:r>
        <w:rPr>
          <w:color w:val="000000"/>
        </w:rPr>
        <w:t xml:space="preserve">, 10</w:t>
      </w:r>
      <w:r>
        <w:rPr>
          <w:color w:val="000000"/>
          <w:vertAlign w:val="superscript"/>
        </w:rPr>
        <w:t xml:space="preserve">−4</w:t>
      </w:r>
      <w:r>
        <w:rPr>
          <w:color w:val="000000"/>
        </w:rPr>
        <w:t xml:space="preserve"> </w:t>
      </w:r>
      <w:r>
        <w:rPr>
          <w:color w:val="000000"/>
        </w:rPr>
        <w:t xml:space="preserve">and 10</w:t>
      </w:r>
      <w:r>
        <w:rPr>
          <w:color w:val="000000"/>
          <w:vertAlign w:val="superscript"/>
        </w:rPr>
        <w:t xml:space="preserve">−5</w:t>
      </w:r>
      <w:r>
        <w:rPr>
          <w:color w:val="000000"/>
        </w:rPr>
        <w:t xml:space="preserve">, with p12 also set to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PP.H4 ≥ 0.80 was a descriptive reporting threshold.</w:t>
      </w:r>
    </w:p>
    <w:p>
      <w:pPr>
        <w:pStyle w:val="BodyText"/>
      </w:pPr>
      <w:r>
        <w:rPr>
          <w:color w:val="000000"/>
        </w:rPr>
        <w:t xml:space="preserve">For</w:t>
      </w:r>
      <w:r>
        <w:rPr>
          <w:color w:val="000000"/>
        </w:rPr>
        <w:t xml:space="preserve"> </w:t>
      </w:r>
      <w:r>
        <w:rPr>
          <w:iCs/>
          <w:i/>
          <w:color w:val="000000"/>
        </w:rPr>
        <w:t xml:space="preserve">TSHR</w:t>
      </w:r>
      <w:r>
        <w:rPr>
          <w:color w:val="000000"/>
        </w:rPr>
        <w:t xml:space="preserve">, colocalization was repeated in narrower regions and in a variant set common to all five datasets, and we checked whether the matched variants included each dataset’s strongest regional disease variant (Supplementary Methods).</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a fixed panel of five Genotype-Tissue Expression (GTEx) v8 tissues: thyroid, cultured skin fibroblasts, subcutaneous adipose, visceral adipose and whole blood [25]. The plan was fixed after the blood results were known but before tissue results were retrieved. GTEx donors were predominantly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GTEx slopes and standard errors for inverse-normal-transformed expression. Tissue colocalization was not performed because complete regional statistics were not obtained.</w:t>
      </w:r>
    </w:p>
    <w:bookmarkEnd w:id="25"/>
    <w:bookmarkStart w:id="26" w:name="descriptive-orbital-expression"/>
    <w:p>
      <w:pPr>
        <w:pStyle w:val="Heading3"/>
      </w:pPr>
      <w:r>
        <w:rPr>
          <w:color w:val="000000"/>
        </w:rPr>
        <w:t xml:space="preserve">Descriptive orbital expression</w:t>
      </w:r>
    </w:p>
    <w:p>
      <w:pPr>
        <w:pStyle w:val="FirstParagraph"/>
      </w:pPr>
      <w:r>
        <w:rPr>
          <w:color w:val="000000"/>
        </w:rPr>
        <w:t xml:space="preserve">In-house RNA sequencing of orbital adipose tissue from four patients with inactive TED and of an upper-eyelid nasal fat pad from one control without thyroid disease was descriptive only (Supplementary Methods). Transcript abundance was displayed without significance testing (Figure S1) and was not used to select genes or validate the genetic findings.</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1"/>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1"/>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and integrative work also investigated</w:t>
      </w:r>
      <w:r>
        <w:rPr>
          <w:color w:val="000000"/>
        </w:rPr>
        <w:t xml:space="preserve"> </w:t>
      </w:r>
      <w:r>
        <w:rPr>
          <w:iCs/>
          <w:i/>
          <w:color w:val="000000"/>
        </w:rPr>
        <w:t xml:space="preserve">TSHR</w:t>
      </w:r>
      <w:r>
        <w:rPr>
          <w:color w:val="000000"/>
        </w:rPr>
        <w:t xml:space="preserve"> </w:t>
      </w:r>
      <w:r>
        <w:rPr>
          <w:color w:val="000000"/>
        </w:rPr>
        <w:t xml:space="preserve">[11].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[9],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[26].</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[25].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[27, 28];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[29].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[30]; plasmid immunization reproduced orbital adipogenesis, fibrosis and muscle pathology [31], and orbital fibroblasts from immunized mice showed enhanced inflammatory and hyaluronan responses to TNFα [32]. Ophthalmopathy also occurs in euthyroid and hypothyroid patients [33].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[3] and in long-duration, low-activity TED [34], and TSHR–IGF-1R crosstalk [5]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screen, focused and tissue-family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[35],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and M.-S.K. contributed equally to this work; both performed the analyses and drafted the manuscript. J.P. conceived and designed the study. M.-S.K. contributed to data collection and interpretation.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Kyung-Hwa Shin (Department of Laboratory Medicine, Pusan National University Hospital) for providing the orbital tissue RNA-sequencing data.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Zuber V, Grinberg NF, Gill D, Manipur I, Slob EAW, Patel A, Wallace C, Burgess S. Combining evidence from Mendelian randomization and colocalization: Review and comparison of approaches. Am J Hum Genet. 2022;109:767-782. doi:10.1016/j.ajhg.2022.04.001.</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Suk-Woo Yang</dc:creator>
  <cp:keywords/>
  <dcterms:created xsi:type="dcterms:W3CDTF">2026-10-19T23:14:51Z</dcterms:created>
  <dcterms:modified xsi:type="dcterms:W3CDTF">2026-10-19T23:14:51Z</dcterms:modified>
  <cp:lastModifiedBy/>
  <dc:description/>
</cp:coreProperties>
</file>

<file path=docProps/custom.xml><?xml version="1.0" encoding="utf-8"?>
<Properties xmlns="http://schemas.openxmlformats.org/officeDocument/2006/custom-properties" xmlns:vt="http://schemas.openxmlformats.org/officeDocument/2006/docPropsVTypes"/>
</file>