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Kyung-Hwa Shin³*,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r>
        <w:rPr>
          <w:color w:val="000000"/>
        </w:rPr>
        <w:br/>
      </w:r>
      <w:r>
        <w:rPr>
          <w:color w:val="000000"/>
        </w:rPr>
        <w:t xml:space="preserve">³ Department of Laboratory Medicine, Pusan National University Hospital, Busan, Republic of Korea</w:t>
      </w:r>
    </w:p>
    <w:p>
      <w:pPr>
        <w:pStyle w:val="BodyText"/>
      </w:pPr>
      <w:r>
        <w:rPr>
          <w:color w:val="000000"/>
        </w:rPr>
        <w:t xml:space="preserve">* These authors contributed equally as corresponding authors.</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r>
        <w:rPr>
          <w:color w:val="000000"/>
        </w:rPr>
        <w:br/>
      </w:r>
      <w:r>
        <w:rPr>
          <w:bCs/>
          <w:b/>
          <w:color w:val="000000"/>
        </w:rPr>
        <w:t xml:space="preserve">Co-corresponding author:</w:t>
      </w:r>
      <w:r>
        <w:rPr>
          <w:color w:val="000000"/>
        </w:rPr>
        <w:t xml:space="preserve"> </w:t>
      </w:r>
      <w:r>
        <w:rPr>
          <w:color w:val="000000"/>
        </w:rPr>
        <w:t xml:space="preserve">Kyung-Hwa Shin, MD, Department of Laboratory Medicine, Pusan National University Hospital, Busan, Republic of Korea.</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w:t>
      </w:r>
      <w:r>
        <w:rPr>
          <w:color w:val="000000"/>
        </w:rPr>
        <w:t xml:space="preserve"> </w:t>
      </w:r>
      <w:r>
        <w:rPr>
          <w:iCs/>
          <w:i/>
          <w:color w:val="000000"/>
        </w:rPr>
        <w:t xml:space="preserve">IGF1R</w:t>
      </w:r>
      <w:r>
        <w:rPr>
          <w:color w:val="000000"/>
        </w:rPr>
        <w:t xml:space="preserve"> </w:t>
      </w:r>
      <w:r>
        <w:rPr>
          <w:color w:val="000000"/>
        </w:rPr>
        <w:t xml:space="preserve">expression contribute to disease susceptibility in the same way as variation at</w:t>
      </w:r>
      <w:r>
        <w:rPr>
          <w:color w:val="000000"/>
        </w:rPr>
        <w:t xml:space="preserve"> </w:t>
      </w:r>
      <w:r>
        <w:rPr>
          <w:iCs/>
          <w:i/>
          <w:color w:val="000000"/>
        </w:rPr>
        <w:t xml:space="preserve">TSHR</w:t>
      </w:r>
      <w:r>
        <w:rPr>
          <w:color w:val="000000"/>
        </w:rPr>
        <w:t xml:space="preserve">, the established GD autoantigen and susceptibility locus?</w:t>
      </w:r>
    </w:p>
    <w:p>
      <w:pPr>
        <w:pStyle w:val="BodyText"/>
      </w:pPr>
      <w:r>
        <w:rPr>
          <w:color w:val="000000"/>
        </w:rPr>
        <w:t xml:space="preserve">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pStyle w:val="BodyText"/>
      </w:pPr>
      <w:r>
        <w:rPr>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Because alleles are allocated at conception, MR is less prone than ordinary observational studies to confounding and reverse causation, but it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w:t>
      </w:r>
      <w:r>
        <w:rPr>
          <w:color w:val="000000"/>
        </w:rPr>
        <w:t xml:space="preserve"> </w:t>
      </w:r>
      <w:r>
        <w:rPr>
          <w:iCs/>
          <w:i/>
          <w:color w:val="000000"/>
        </w:rPr>
        <w:t xml:space="preserve">P</w:t>
      </w:r>
      <w:r>
        <w:rPr>
          <w:color w:val="000000"/>
        </w:rPr>
        <w:t xml:space="preserve"> </w:t>
      </w:r>
      <w:r>
        <w:rPr>
          <w:color w:val="000000"/>
        </w:rPr>
        <w:t xml:space="preserve">values; colocalization reports model-based posterior probabilities, which are not</w:t>
      </w:r>
      <w:r>
        <w:rPr>
          <w:color w:val="000000"/>
        </w:rPr>
        <w:t xml:space="preserve"> </w:t>
      </w:r>
      <w:r>
        <w:rPr>
          <w:iCs/>
          <w:i/>
          <w:color w:val="000000"/>
        </w:rPr>
        <w:t xml:space="preserve">P</w:t>
      </w:r>
      <w:r>
        <w:rPr>
          <w:color w:val="000000"/>
        </w:rPr>
        <w:t xml:space="preserve"> </w:t>
      </w:r>
      <w:r>
        <w:rPr>
          <w:color w:val="000000"/>
        </w:rPr>
        <w:t xml:space="preserve">values.</w:t>
      </w:r>
    </w:p>
    <w:p>
      <w:pPr>
        <w:pStyle w:val="BodyText"/>
      </w:pPr>
      <w:r>
        <w:rPr>
          <w:color w:val="000000"/>
        </w:rPr>
        <w:t xml:space="preserve">Previous genetic studies have already implicated</w:t>
      </w:r>
      <w:r>
        <w:rPr>
          <w:color w:val="000000"/>
        </w:rPr>
        <w:t xml:space="preserve"> </w:t>
      </w:r>
      <w:r>
        <w:rPr>
          <w:iCs/>
          <w:i/>
          <w:color w:val="000000"/>
        </w:rPr>
        <w:t xml:space="preserve">TSHR</w:t>
      </w:r>
      <w:r>
        <w:rPr>
          <w:color w:val="000000"/>
        </w:rPr>
        <w:t xml:space="preserve"> </w:t>
      </w:r>
      <w:r>
        <w:rPr>
          <w:color w:val="000000"/>
        </w:rPr>
        <w:t xml:space="preserve">in GD and Graves ophthalmopathy. Ji and colleagues integrated blood methylation, expression and protein associations with GD, reporting</w:t>
      </w:r>
      <w:r>
        <w:rPr>
          <w:color w:val="000000"/>
        </w:rPr>
        <w:t xml:space="preserve"> </w:t>
      </w:r>
      <w:r>
        <w:rPr>
          <w:iCs/>
          <w:i/>
          <w:color w:val="000000"/>
        </w:rPr>
        <w:t xml:space="preserve">TSHR</w:t>
      </w:r>
      <w:r>
        <w:rPr>
          <w:color w:val="000000"/>
        </w:rPr>
        <w:t xml:space="preserve"> </w:t>
      </w:r>
      <w:r>
        <w:rPr>
          <w:color w:val="000000"/>
        </w:rPr>
        <w:t xml:space="preserve">among the expression-associated genes also supported in a strict FinnGen ophthalmopathy dataset [9]. Other MR work has examined inflammatory proteins in ophthalmopathy [10], and recent integrative research has investigated</w:t>
      </w:r>
      <w:r>
        <w:rPr>
          <w:color w:val="000000"/>
        </w:rPr>
        <w:t xml:space="preserve"> </w:t>
      </w:r>
      <w:r>
        <w:rPr>
          <w:iCs/>
          <w:i/>
          <w:color w:val="000000"/>
        </w:rPr>
        <w:t xml:space="preserve">TSHR</w:t>
      </w:r>
      <w:r>
        <w:rPr>
          <w:color w:val="000000"/>
        </w:rPr>
        <w:t xml:space="preserve"> </w:t>
      </w:r>
      <w:r>
        <w:rPr>
          <w:color w:val="000000"/>
        </w:rPr>
        <w:t xml:space="preserve">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w:t>
      </w:r>
      <w:r>
        <w:rPr>
          <w:color w:val="000000"/>
        </w:rPr>
        <w:t xml:space="preserve"> </w:t>
      </w:r>
      <w:r>
        <w:rPr>
          <w:iCs/>
          <w:i/>
          <w:color w:val="000000"/>
        </w:rPr>
        <w:t xml:space="preserve">IGF1R</w:t>
      </w:r>
      <w:r>
        <w:rPr>
          <w:color w:val="000000"/>
        </w:rPr>
        <w:t xml:space="preserve"> </w:t>
      </w:r>
      <w:r>
        <w:rPr>
          <w:color w:val="000000"/>
        </w:rPr>
        <w:t xml:space="preserve">could reflect imprecision or dependence on particular instruments, while a strong MR association for</w:t>
      </w:r>
      <w:r>
        <w:rPr>
          <w:color w:val="000000"/>
        </w:rPr>
        <w:t xml:space="preserve"> </w:t>
      </w:r>
      <w:r>
        <w:rPr>
          <w:iCs/>
          <w:i/>
          <w:color w:val="000000"/>
        </w:rPr>
        <w:t xml:space="preserve">TSHR</w:t>
      </w:r>
      <w:r>
        <w:rPr>
          <w:color w:val="000000"/>
        </w:rPr>
        <w:t xml:space="preserve"> </w:t>
      </w:r>
      <w:r>
        <w:rPr>
          <w:color w:val="000000"/>
        </w:rPr>
        <w:t xml:space="preserve">does not by itself establish that expression and disease share a causal variant. The remaining question is how robustly these two expression traits are associated with GD and related phenotypes, and how far those associations support biological interpretation.</w:t>
      </w:r>
    </w:p>
    <w:p>
      <w:pPr>
        <w:pStyle w:val="BodyText"/>
      </w:pPr>
      <w:r>
        <w:rPr>
          <w:color w:val="000000"/>
        </w:rPr>
        <w:t xml:space="preserve">To address this question, we compared genetically proxied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 expression predicted from inherited variants rather than measured directly — within a screen of genes encoding potentially druggable proteins, using</w:t>
      </w:r>
      <w:r>
        <w:rPr>
          <w:color w:val="000000"/>
        </w:rPr>
        <w:t xml:space="preserve"> </w:t>
      </w:r>
      <w:r>
        <w:rPr>
          <w:iCs/>
          <w:i/>
          <w:color w:val="000000"/>
        </w:rPr>
        <w:t xml:space="preserve">CTLA4</w:t>
      </w:r>
      <w:r>
        <w:rPr>
          <w:color w:val="000000"/>
        </w:rPr>
        <w:t xml:space="preserve"> </w:t>
      </w:r>
      <w:r>
        <w:rPr>
          <w:color w:val="000000"/>
        </w:rPr>
        <w:t xml:space="preserve">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 A small in-house orbital RNA-sequencing series (four TED samples and one control) is reported only as descriptive context.</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[12]. The exposure used whole-blood expression quantitative trait locus (eQTL) statistics from eQTLGen, comprising up to 31,684 participants, predominantly of European ancestry [13]. The original outcome hierarchy comprised BBJ GD, UKB self-reported hyperthyroidism or thyrotoxicosis, and FinnGen R12 Graves ophthalmopathy [14, 15, 16]. We subsequently added FinnGen R12 E4_GRAVES_STRICT and E4_GRAVES_OPHT_STRICT. The five datasets and their case and control counts are shown in Table 1. The UKB source did not establish an exclusively European analysis sample, so ancestry was not inferred from the reference panel used in its source study.</w:t>
      </w:r>
    </w:p>
    <w:p>
      <w:pPr>
        <w:pStyle w:val="BodyText"/>
      </w:pPr>
      <w:r>
        <w:rPr>
          <w:color w:val="000000"/>
        </w:rPr>
        <w:t xml:space="preserve">BBJ remained the discovery dataset. FinnGen GD provided a same-disease comparison, UKB a broader-phenotype comparison, and the two ophthalmopathy endpoints sensitivity analyses of a TED-enriched phenotype. The three FinnGen endpoints contain overlapping participants and were not treated as independent replications or combined by meta-analysis. Their controls were population non-cases for the respective endpoint, not GD patients without TED. The FinnGen extensions, expanded candidate assessment and instrument diagnostics were post hoc; no prospective registration was available.</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From 4,462 potentially druggable genes [17], instruments were selected from significant blood cis-eQTLs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within 1 Mb of the gene. PLINK clumping used a linkage disequilibrium (LD) threshold of r² &lt; 0.001 within 10 Mb and 503 European participants from 1000 Genomes Phase 3 [18, 19]. This produced 6,135 single-nucleotide polymorphism (SNP)–gene records for 2,544 genes. The minimum F statistic was 29.7; the median variant-specific expression sample size was 28,092, with a range of 232–31,684. Exposure coefficients and standard errors were reconstructed from Z statistics, sample sizes and reference allele frequencies under unit expression variance [20]. Alleles were aligned with TwoSampleMR; ambiguous palindromic or unavailable variants were excluded. UKB linear-model coefficients and standard errors were divided by μ(1−μ), where μ = 3,731/484,598, to approximate a log-odds scale. BBJ and FinnGen coefficients already used log odds.</w:t>
      </w:r>
    </w:p>
    <w:p>
      <w:pPr>
        <w:pStyle w:val="BodyText"/>
      </w:pPr>
      <w:r>
        <w:rPr>
          <w:color w:val="000000"/>
        </w:rPr>
        <w:t xml:space="preserve">We used Wald ratios for single-instrument genes and multiplicative random-effects inverse-variance weighting (IVW), with correction for under-dispersion, for multiple instruments [21]. An instrumental variable (IV) is a genetic variant used to represent variation in expression. Results are reported as ORs per approximately one standard deviation higher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This scale describes reconstructed expression effects, not a drug dose or an intervention. Primary discovery required</w:t>
      </w:r>
      <w:r>
        <w:rPr>
          <w:color w:val="000000"/>
        </w:rPr>
        <w:t xml:space="preserve"> </w:t>
      </w:r>
      <w:r>
        <w:rPr>
          <w:iCs/>
          <w:i/>
          <w:color w:val="000000"/>
        </w:rPr>
        <w:t xml:space="preserve">P</w:t>
      </w:r>
      <w:r>
        <w:rPr>
          <w:color w:val="000000"/>
        </w:rPr>
        <w:t xml:space="preserve"> </w:t>
      </w:r>
      <w:r>
        <w:rPr>
          <w:color w:val="000000"/>
        </w:rPr>
        <w:t xml:space="preserve">&lt; 0.05/2,544 (1.965×10</w:t>
      </w:r>
      <w:r>
        <w:rPr>
          <w:color w:val="000000"/>
          <w:vertAlign w:val="superscript"/>
        </w:rPr>
        <w:t xml:space="preserve">−5</w:t>
      </w:r>
      <w:r>
        <w:rPr>
          <w:color w:val="000000"/>
        </w:rPr>
        <w:t xml:space="preserve">), retaining all eligible genes in the denominator even when an outcome estimate was unavailable. The 13 BBJ discoveries were assessed in FinnGen GD using a focused threshold of 0.05/13 and concordant effect direction. A separate full FinnGen screen used 0.05/2,544 and was exploratory. Nominal</w:t>
      </w:r>
      <w:r>
        <w:rPr>
          <w:color w:val="000000"/>
        </w:rPr>
        <w:t xml:space="preserve"> </w:t>
      </w:r>
      <w:r>
        <w:rPr>
          <w:iCs/>
          <w:i/>
          <w:color w:val="000000"/>
        </w:rPr>
        <w:t xml:space="preserve">P</w:t>
      </w:r>
      <w:r>
        <w:rPr>
          <w:color w:val="000000"/>
        </w:rPr>
        <w:t xml:space="preserve"> </w:t>
      </w:r>
      <w:r>
        <w:rPr>
          <w:color w:val="000000"/>
        </w:rPr>
        <w:t xml:space="preserve">&lt; 0.05 was reported descriptively and was not equated with discovery significance.</w:t>
      </w:r>
    </w:p>
    <w:p>
      <w:pPr>
        <w:pStyle w:val="BodyText"/>
      </w:pPr>
      <w:r>
        <w:rPr>
          <w:color w:val="000000"/>
        </w:rPr>
        <w:t xml:space="preserve">MR interpretation assumes that instruments predict expression, are not associated with exposure–disease confounders, and influence disease only through the modeled exposure. A small</w:t>
      </w:r>
      <w:r>
        <w:rPr>
          <w:color w:val="000000"/>
        </w:rPr>
        <w:t xml:space="preserve"> </w:t>
      </w:r>
      <w:r>
        <w:rPr>
          <w:iCs/>
          <w:i/>
          <w:color w:val="000000"/>
        </w:rPr>
        <w:t xml:space="preserve">P</w:t>
      </w:r>
      <w:r>
        <w:rPr>
          <w:color w:val="000000"/>
        </w:rPr>
        <w:t xml:space="preserve"> </w:t>
      </w:r>
      <w:r>
        <w:rPr>
          <w:color w:val="000000"/>
        </w:rPr>
        <w:t xml:space="preserve">value or high PP.H4 cannot by itself establish these assumptions.</w:t>
      </w:r>
    </w:p>
    <w:p>
      <w:pPr>
        <w:pStyle w:val="BodyText"/>
      </w:pPr>
      <w:r>
        <w:rPr>
          <w:color w:val="000000"/>
        </w:rPr>
        <w:t xml:space="preserve">Where applicable, sensitivity assessment included Cochran’s Q, alternative MR estimators and omission of individual instruments [22, 23]. Previously completed alternative-estimator results (MR-Egger, weighted median and weighted mode) for the original three outcomes were retained (Supplementary Dataset, MR_estimators_original); they were not represented as new analyses of every endpoint. Post hoc leave-one-out results assessed dependence on individual variants, not independent replication. Single-instrument</w:t>
      </w:r>
      <w:r>
        <w:rPr>
          <w:color w:val="000000"/>
        </w:rPr>
        <w:t xml:space="preserve"> </w:t>
      </w:r>
      <w:r>
        <w:rPr>
          <w:iCs/>
          <w:i/>
          <w:color w:val="000000"/>
        </w:rPr>
        <w:t xml:space="preserve">TSHR</w:t>
      </w:r>
      <w:r>
        <w:rPr>
          <w:color w:val="000000"/>
        </w:rPr>
        <w:t xml:space="preserve"> </w:t>
      </w:r>
      <w:r>
        <w:rPr>
          <w:color w:val="000000"/>
        </w:rPr>
        <w:t xml:space="preserve">results could not undergo these omission or multi-instrument pleiotropy tests.</w:t>
      </w:r>
    </w:p>
    <w:p>
      <w:pPr>
        <w:pStyle w:val="BodyText"/>
      </w:pPr>
      <w:r>
        <w:rPr>
          <w:color w:val="000000"/>
        </w:rPr>
        <w:t xml:space="preserve">In a post hoc allele-direction audit, we re-extracted rs179252 and rs179247 from the original expression and disease files. Disease effects were aligned to the blood expression-increasing allele, and G-allele correlations were calculated in European and East Asian reference genotypes and independently checked with PLINK. This audit assessed allele alignment and consistency with published thymus findings, rather than thymic mediation (Supplementary Dataset, TSHR_allele_audit).</w:t>
      </w:r>
    </w:p>
    <w:bookmarkEnd w:id="23"/>
    <w:bookmarkStart w:id="24" w:name="colocalization-and-robustness-assessment"/>
    <w:p>
      <w:pPr>
        <w:pStyle w:val="Heading3"/>
      </w:pPr>
      <w:r>
        <w:rPr>
          <w:color w:val="000000"/>
        </w:rPr>
        <w:t xml:space="preserve">Colocalization and robustness assessment</w:t>
      </w:r>
    </w:p>
    <w:p>
      <w:pPr>
        <w:pStyle w:val="FirstParagraph"/>
      </w:pPr>
      <w:r>
        <w:rPr>
          <w:color w:val="000000"/>
        </w:rPr>
        <w:t xml:space="preserve">We report MR associations as the main findings and use colocalization to assess their interpretation. In the original analysis, colocalization was reported alongside MR as a parallel evidence layer; the present emphasis was adopted during post hoc reappraisal and was not a prospectively registered hierarchy. Colocalization used complete available regional cis-eQTL statistics, including non-significant variants, matched to each disease dataset [8]. The expanded set included all 13 BBJ discoveries,</w:t>
      </w:r>
      <w:r>
        <w:rPr>
          <w:color w:val="000000"/>
        </w:rPr>
        <w:t xml:space="preserve"> </w:t>
      </w:r>
      <w:r>
        <w:rPr>
          <w:iCs/>
          <w:i/>
          <w:color w:val="000000"/>
        </w:rPr>
        <w:t xml:space="preserve">IGF1R</w:t>
      </w:r>
      <w:r>
        <w:rPr>
          <w:color w:val="000000"/>
        </w:rPr>
        <w:t xml:space="preserve">, nine additional FinnGen GD discoveries and</w:t>
      </w:r>
      <w:r>
        <w:rPr>
          <w:color w:val="000000"/>
        </w:rPr>
        <w:t xml:space="preserve"> </w:t>
      </w:r>
      <w:r>
        <w:rPr>
          <w:iCs/>
          <w:i/>
          <w:color w:val="000000"/>
        </w:rPr>
        <w:t xml:space="preserve">HLA-G</w:t>
      </w:r>
      <w:r>
        <w:rPr>
          <w:color w:val="000000"/>
        </w:rPr>
        <w:t xml:space="preserve">, which was selected because its MR significance changed after frequency substitution: 24 genes in total. We used coloc.abf with disease as dataset 1 and expression as dataset 2. Posterior probability of hypothesis 4 (PP.H4) measures support for a shared causal variant under the fitted model. PP.H3 instead supports distinct variants. We used PP.H4 ≥ 0.80 as a descriptive strong-support threshold, with priors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and repeated analyses at p12 =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w:t>
      </w:r>
      <w:r>
        <w:rPr>
          <w:color w:val="000000"/>
        </w:rPr>
        <w:t xml:space="preserve">[24]. All five hypotheses are defined in Supplementary Methods. Low PP.H4 alone does not establish no disease association, and H3 does not prove multiple independent signals.</w:t>
      </w:r>
    </w:p>
    <w:p>
      <w:pPr>
        <w:pStyle w:val="BodyText"/>
      </w:pPr>
      <w:r>
        <w:rPr>
          <w:color w:val="000000"/>
        </w:rPr>
        <w:t xml:space="preserve">We evaluated reference and eQTLGen cohort frequencies, distinguishing changes in effect scaling from changes in variant availability and harmonization. The 24-gene colocalization dataset contains 1,440 settings: 24 genes × five outcomes × four frequency/availability scenarios × three priors. For</w:t>
      </w:r>
      <w:r>
        <w:rPr>
          <w:color w:val="000000"/>
        </w:rPr>
        <w:t xml:space="preserve"> </w:t>
      </w:r>
      <w:r>
        <w:rPr>
          <w:iCs/>
          <w:i/>
          <w:color w:val="000000"/>
        </w:rPr>
        <w:t xml:space="preserve">TSHR</w:t>
      </w:r>
      <w:r>
        <w:rPr>
          <w:color w:val="000000"/>
        </w:rPr>
        <w:t xml:space="preserve">, we additionally examined narrower windows, a common five-outcome variant set, raw regional disease peaks and all available source cis-eQTLs. For newly evaluated candidates, we checked marginal signal coverage, shared instruments and variant aliases.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underwent instrument-level frequency, weighting, heterogeneity and omission checks. Full-precision results are supplied in one Supplementary Dataset workbook. The original BBJ–ophthalmopathy combined filter is retained as a historical descriptive comparison, not promoted to a prospectively specified validation rule or the primary conclusion of this reappraisal.</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 both genes in a fixed panel of five GTEx v8 tissues: thyroid, cultured fibroblasts, subcutaneous adipose, visceral adipose and whole blood [25]. The extension plan was fixed before retrieving these tissue results, after the blood analysis was known. GTEx participants were predominantly of European ancestry, not exclusively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the original slopes and standard errors for inverse-normal-transformed expression. Complete regional summaries were not obtained for this extension, so tissue colocalization was not performed; significant-only pairs were used solely for instrument selection. All planned combinations are reported in the Supplementary Dataset.</w:t>
      </w:r>
    </w:p>
    <w:bookmarkEnd w:id="25"/>
    <w:bookmarkStart w:id="26" w:name="orbital-expression-and-implementation"/>
    <w:p>
      <w:pPr>
        <w:pStyle w:val="Heading3"/>
      </w:pPr>
      <w:r>
        <w:rPr>
          <w:color w:val="000000"/>
        </w:rPr>
        <w:t xml:space="preserve">Orbital expression and implementation</w:t>
      </w:r>
    </w:p>
    <w:p>
      <w:pPr>
        <w:pStyle w:val="FirstParagraph"/>
      </w:pPr>
      <w:r>
        <w:rPr>
          <w:color w:val="000000"/>
        </w:rPr>
        <w:t xml:space="preserve">An in-house orbital RNA-sequencing series of four patients with inactive TED and one control provided descriptive context only (Supplementary Methods). Technical replicates were combined by biological sample, and transcript abundance was displayed without differential-expression significance testing (Figure S1). These observations were not used to select genes or validate the genetic findings. Analyses used R 4.3.3, TwoSampleMR 0.7.4, coloc 5.2.3 and PLINK 1.9, with independent numerical verification in Python. No age- or sex-stratified patient analyses, individual-level multivariable regression, Steiger directionality test or multi-signal colocalization was performed.</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the 2,544 instrumented genes, 2,234 were estimable in BBJ, 2,505 in UKB and 2,480 in each FinnGen endpoint. Thirteen genes passed the BBJ screen threshold (</w:t>
      </w:r>
      <w:r>
        <w:rPr>
          <w:iCs/>
          <w:i/>
          <w:color w:val="000000"/>
        </w:rPr>
        <w:t xml:space="preserve">P</w:t>
      </w:r>
      <w:r>
        <w:rPr>
          <w:color w:val="000000"/>
        </w:rPr>
        <w:t xml:space="preserve"> </w:t>
      </w:r>
      <w:r>
        <w:rPr>
          <w:color w:val="000000"/>
        </w:rPr>
        <w:t xml:space="preserve">&lt; 0.05/2,544), including</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but not</w:t>
      </w:r>
      <w:r>
        <w:rPr>
          <w:color w:val="000000"/>
        </w:rPr>
        <w:t xml:space="preserve"> </w:t>
      </w:r>
      <w:r>
        <w:rPr>
          <w:iCs/>
          <w:i/>
          <w:color w:val="000000"/>
        </w:rPr>
        <w:t xml:space="preserve">IGF1R</w:t>
      </w:r>
      <w:r>
        <w:rPr>
          <w:color w:val="000000"/>
        </w:rPr>
        <w:t xml:space="preserve"> </w:t>
      </w:r>
      <w:r>
        <w:rPr>
          <w:color w:val="000000"/>
        </w:rPr>
        <w:t xml:space="preserve">(Figure 1). At this threshold, 14.6% and 35.6% of estimable BBJ genes had 80% power to detect ORs of 1.5 and 2.0, respectively (Supplementary Dataset, Detection_original).</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in BBJ (OR 0.12, 95%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ORs were also below 1 for UKB hyperthyroidism and both ophthalmopathy endpoints, and all estimates except strict ophthalmopathy passed the screen threshold (Table 2; Figure 2). Each estimate used the single instrument rs179252. Its expression-increasing G allele had per-allele disease ORs of 0.77–0.82 across datasets and was correlated with rs179247-G (European r = 0.978; East Asian r = 0.996), which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and none passed the screen threshold. Nominal associations (uncorrected</w:t>
      </w:r>
      <w:r>
        <w:rPr>
          <w:color w:val="000000"/>
        </w:rPr>
        <w:t xml:space="preserve"> </w:t>
      </w:r>
      <w:r>
        <w:rPr>
          <w:iCs/>
          <w:i/>
          <w:color w:val="000000"/>
        </w:rPr>
        <w:t xml:space="preserve">P</w:t>
      </w:r>
      <w:r>
        <w:rPr>
          <w:color w:val="000000"/>
        </w:rPr>
        <w:t xml:space="preserve"> </w:t>
      </w:r>
      <w:r>
        <w:rPr>
          <w:color w:val="000000"/>
        </w:rPr>
        <w:t xml:space="preserve">&lt; 0.05) were found only in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The most precise estimate, FinnGen GD, was OR 1.07 (95% CI 0.86–1.33;</w:t>
      </w:r>
      <w:r>
        <w:rPr>
          <w:color w:val="000000"/>
        </w:rPr>
        <w:t xml:space="preserve"> </w:t>
      </w:r>
      <w:r>
        <w:rPr>
          <w:iCs/>
          <w:i/>
          <w:color w:val="000000"/>
        </w:rPr>
        <w:t xml:space="preserve">P</w:t>
      </w:r>
      <w:r>
        <w:rPr>
          <w:color w:val="000000"/>
        </w:rPr>
        <w:t xml:space="preserve"> </w:t>
      </w:r>
      <w:r>
        <w:rPr>
          <w:color w:val="000000"/>
        </w:rPr>
        <w:t xml:space="preserve">= 0.539); this comparison had 80% power to detect an OR of 1.36 at</w:t>
      </w:r>
      <w:r>
        <w:rPr>
          <w:color w:val="000000"/>
        </w:rPr>
        <w:t xml:space="preserve"> </w:t>
      </w:r>
      <w:r>
        <w:rPr>
          <w:iCs/>
          <w:i/>
          <w:color w:val="000000"/>
        </w:rPr>
        <w:t xml:space="preserve">P</w:t>
      </w:r>
      <w:r>
        <w:rPr>
          <w:color w:val="000000"/>
        </w:rPr>
        <w:t xml:space="preserve"> </w:t>
      </w:r>
      <w:r>
        <w:rPr>
          <w:color w:val="000000"/>
        </w:rPr>
        <w:t xml:space="preserve">&lt; 0.05 (Supplementary Methods). Weighted-median ORs were 1.56 (</w:t>
      </w:r>
      <w:r>
        <w:rPr>
          <w:iCs/>
          <w:i/>
          <w:color w:val="000000"/>
        </w:rPr>
        <w:t xml:space="preserve">P</w:t>
      </w:r>
      <w:r>
        <w:rPr>
          <w:color w:val="000000"/>
        </w:rPr>
        <w:t xml:space="preserve"> </w:t>
      </w:r>
      <w:r>
        <w:rPr>
          <w:color w:val="000000"/>
        </w:rPr>
        <w:t xml:space="preserve">= 0.0288) in BBJ, 1.42 (</w:t>
      </w:r>
      <w:r>
        <w:rPr>
          <w:iCs/>
          <w:i/>
          <w:color w:val="000000"/>
        </w:rPr>
        <w:t xml:space="preserve">P</w:t>
      </w:r>
      <w:r>
        <w:rPr>
          <w:color w:val="000000"/>
        </w:rPr>
        <w:t xml:space="preserve"> </w:t>
      </w:r>
      <w:r>
        <w:rPr>
          <w:color w:val="000000"/>
        </w:rPr>
        <w:t xml:space="preserve">= 0.00244) in UKB and 1.46 (</w:t>
      </w:r>
      <w:r>
        <w:rPr>
          <w:iCs/>
          <w:i/>
          <w:color w:val="000000"/>
        </w:rPr>
        <w:t xml:space="preserve">P</w:t>
      </w:r>
      <w:r>
        <w:rPr>
          <w:color w:val="000000"/>
        </w:rPr>
        <w:t xml:space="preserve"> </w:t>
      </w:r>
      <w:r>
        <w:rPr>
          <w:color w:val="000000"/>
        </w:rPr>
        <w:t xml:space="preserve">= 0.124) in FinnGen ophthalmopathy. In these three datasets, MR-Egger and weighted-mode estimates had</w:t>
      </w:r>
      <w:r>
        <w:rPr>
          <w:color w:val="000000"/>
        </w:rPr>
        <w:t xml:space="preserve"> </w:t>
      </w:r>
      <w:r>
        <w:rPr>
          <w:iCs/>
          <w:i/>
          <w:color w:val="000000"/>
        </w:rPr>
        <w:t xml:space="preserve">P</w:t>
      </w:r>
      <w:r>
        <w:rPr>
          <w:color w:val="000000"/>
        </w:rPr>
        <w:t xml:space="preserve"> </w:t>
      </w:r>
      <w:r>
        <w:rPr>
          <w:color w:val="000000"/>
        </w:rPr>
        <w:t xml:space="preserve">≥ 0.32, and MR-Egger intercept</w:t>
      </w:r>
      <w:r>
        <w:rPr>
          <w:color w:val="000000"/>
        </w:rPr>
        <w:t xml:space="preserve"> </w:t>
      </w:r>
      <w:r>
        <w:rPr>
          <w:iCs/>
          <w:i/>
          <w:color w:val="000000"/>
        </w:rPr>
        <w:t xml:space="preserve">P</w:t>
      </w:r>
      <w:r>
        <w:rPr>
          <w:color w:val="000000"/>
        </w:rPr>
        <w:t xml:space="preserve"> </w:t>
      </w:r>
      <w:r>
        <w:rPr>
          <w:color w:val="000000"/>
        </w:rPr>
        <w:t xml:space="preserve">values were 0.66, 0.56 and 0.43, respectively (Supplementary Dataset, MR_estimators_original).</w:t>
      </w:r>
    </w:p>
    <w:bookmarkEnd w:id="29"/>
    <w:bookmarkStart w:id="30" w:name="other-associated-genes"/>
    <w:p>
      <w:pPr>
        <w:pStyle w:val="Heading3"/>
      </w:pPr>
      <w:r>
        <w:rPr>
          <w:color w:val="000000"/>
        </w:rPr>
        <w:t xml:space="preserve">Other associated genes</w:t>
      </w:r>
    </w:p>
    <w:p>
      <w:pPr>
        <w:pStyle w:val="FirstParagraph"/>
      </w:pPr>
      <w:r>
        <w:rPr>
          <w:color w:val="000000"/>
        </w:rPr>
        <w:t xml:space="preserve">Four genes passed the 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w:t>
      </w:r>
      <w:r>
        <w:rPr>
          <w:color w:val="000000"/>
        </w:rPr>
        <w:t xml:space="preserve"> </w:t>
      </w:r>
      <w:r>
        <w:rPr>
          <w:iCs/>
          <w:i/>
          <w:color w:val="000000"/>
        </w:rPr>
        <w:t xml:space="preserve">CTLA4</w:t>
      </w:r>
      <w:r>
        <w:rPr>
          <w:color w:val="000000"/>
        </w:rPr>
        <w:t xml:space="preserve"> </w:t>
      </w:r>
      <w:r>
        <w:rPr>
          <w:color w:val="000000"/>
        </w:rPr>
        <w:t xml:space="preserve">was associated with lower odds,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both in the major histocompatibility complex (MHC) region, with higher odds.</w:t>
      </w:r>
      <w:r>
        <w:rPr>
          <w:color w:val="000000"/>
        </w:rPr>
        <w:t xml:space="preserve"> </w:t>
      </w:r>
      <w:r>
        <w:rPr>
          <w:iCs/>
          <w:i/>
          <w:color w:val="000000"/>
        </w:rPr>
        <w:t xml:space="preserve">CTLA4</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in all five datasets;</w:t>
      </w:r>
      <w:r>
        <w:rPr>
          <w:color w:val="000000"/>
        </w:rPr>
        <w:t xml:space="preserve"> </w:t>
      </w:r>
      <w:r>
        <w:rPr>
          <w:iCs/>
          <w:i/>
          <w:color w:val="000000"/>
        </w:rPr>
        <w:t xml:space="preserve">HLA-DQA2</w:t>
      </w:r>
      <w:r>
        <w:rPr>
          <w:color w:val="000000"/>
        </w:rPr>
        <w:t xml:space="preserve"> </w:t>
      </w:r>
      <w:r>
        <w:rPr>
          <w:color w:val="000000"/>
        </w:rPr>
        <w:t xml:space="preserve">did in four, but its two-instrument UKB estimate was non-significant and below 1 (Supplementary Dataset, MR_primary). At the focused FinnGen GD threshold (</w:t>
      </w:r>
      <w:r>
        <w:rPr>
          <w:iCs/>
          <w:i/>
          <w:color w:val="000000"/>
        </w:rPr>
        <w:t xml:space="preserve">P</w:t>
      </w:r>
      <w:r>
        <w:rPr>
          <w:color w:val="000000"/>
        </w:rPr>
        <w:t xml:space="preserve"> </w:t>
      </w:r>
      <w:r>
        <w:rPr>
          <w:color w:val="000000"/>
        </w:rPr>
        <w:t xml:space="preserve">&lt; 0.05/13 = 0.00385), seven of the 13 BBJ discoveries had direction-consistent associations: these four genes plus</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r>
        <w:rPr>
          <w:color w:val="000000"/>
        </w:rPr>
        <w:t xml:space="preserve"> </w:t>
      </w:r>
      <w:r>
        <w:rPr>
          <w:iCs/>
          <w:i/>
          <w:color w:val="000000"/>
        </w:rPr>
        <w:t xml:space="preserve">HLA-A</w:t>
      </w:r>
      <w:r>
        <w:rPr>
          <w:color w:val="000000"/>
        </w:rPr>
        <w:t xml:space="preserve">, which had the smallest BBJ</w:t>
      </w:r>
      <w:r>
        <w:rPr>
          <w:color w:val="000000"/>
        </w:rPr>
        <w:t xml:space="preserve"> </w:t>
      </w:r>
      <w:r>
        <w:rPr>
          <w:iCs/>
          <w:i/>
          <w:color w:val="000000"/>
        </w:rPr>
        <w:t xml:space="preserve">P</w:t>
      </w:r>
      <w:r>
        <w:rPr>
          <w:color w:val="000000"/>
        </w:rPr>
        <w:t xml:space="preserve"> </w:t>
      </w:r>
      <w:r>
        <w:rPr>
          <w:color w:val="000000"/>
        </w:rPr>
        <w:t xml:space="preserve">value, had a non-significant FinnGen GD estimate.</w:t>
      </w:r>
    </w:p>
    <w:p>
      <w:pPr>
        <w:pStyle w:val="BodyText"/>
      </w:pPr>
      <w:r>
        <w:rPr>
          <w:color w:val="000000"/>
        </w:rPr>
        <w:t xml:space="preserve">The exploratory full FinnGen GD screen identified 13 genes, nine of them outside the BBJ discovery set (Table S1). Seven of the nine were instrumented in the extended MHC region, which was not excluded from the screen, and two pairs each shared one instrument.</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Omitting rs13030124 left non-significant</w:t>
      </w:r>
      <w:r>
        <w:rPr>
          <w:color w:val="000000"/>
        </w:rPr>
        <w:t xml:space="preserve"> </w:t>
      </w:r>
      <w:r>
        <w:rPr>
          <w:iCs/>
          <w:i/>
          <w:color w:val="000000"/>
        </w:rPr>
        <w:t xml:space="preserve">CTLA4</w:t>
      </w:r>
      <w:r>
        <w:rPr>
          <w:color w:val="000000"/>
        </w:rPr>
        <w:t xml:space="preserve"> </w:t>
      </w:r>
      <w:r>
        <w:rPr>
          <w:color w:val="000000"/>
        </w:rPr>
        <w:t xml:space="preserve">estimates in UKB and all three FinnGen endpoints (</w:t>
      </w:r>
      <w:r>
        <w:rPr>
          <w:iCs/>
          <w:i/>
          <w:color w:val="000000"/>
        </w:rPr>
        <w:t xml:space="preserve">P</w:t>
      </w:r>
      <w:r>
        <w:rPr>
          <w:color w:val="000000"/>
        </w:rPr>
        <w:t xml:space="preserve"> </w:t>
      </w:r>
      <w:r>
        <w:rPr>
          <w:color w:val="000000"/>
        </w:rPr>
        <w:t xml:space="preserve">= 0.323–0.972; Figure S2). In BBJ and UKB, where</w:t>
      </w:r>
      <w:r>
        <w:rPr>
          <w:color w:val="000000"/>
        </w:rPr>
        <w:t xml:space="preserve"> </w:t>
      </w:r>
      <w:r>
        <w:rPr>
          <w:iCs/>
          <w:i/>
          <w:color w:val="000000"/>
        </w:rPr>
        <w:t xml:space="preserve">IGF1R</w:t>
      </w:r>
      <w:r>
        <w:rPr>
          <w:color w:val="000000"/>
        </w:rPr>
        <w:t xml:space="preserve"> </w:t>
      </w:r>
      <w:r>
        <w:rPr>
          <w:color w:val="000000"/>
        </w:rPr>
        <w:t xml:space="preserve">had four instruments, omitting each in turn gave</w:t>
      </w:r>
      <w:r>
        <w:rPr>
          <w:color w:val="000000"/>
        </w:rPr>
        <w:t xml:space="preserve"> </w:t>
      </w:r>
      <w:r>
        <w:rPr>
          <w:iCs/>
          <w:i/>
          <w:color w:val="000000"/>
        </w:rPr>
        <w:t xml:space="preserve">P</w:t>
      </w:r>
      <w:r>
        <w:rPr>
          <w:color w:val="000000"/>
        </w:rPr>
        <w:t xml:space="preserve"> </w:t>
      </w:r>
      <w:r>
        <w:rPr>
          <w:color w:val="000000"/>
        </w:rPr>
        <w:t xml:space="preserve">&gt; 0.05 in two of the four estimates; omitting rs2654980 in UKB also lowered the OR from 1.35 to 1.16 (Figure S2). Among the BBJ discoveries, Cochran’s Q test in FinnGen GD indicated heterogeneity among instruments for</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1.27×10</w:t>
      </w:r>
      <w:r>
        <w:rPr>
          <w:color w:val="000000"/>
          <w:vertAlign w:val="superscript"/>
        </w:rPr>
        <w:t xml:space="preserve">−12</w:t>
      </w:r>
      <w:r>
        <w:rPr>
          <w:color w:val="000000"/>
        </w:rPr>
        <w:t xml:space="preserve">),</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w:t>
      </w:r>
      <w:r>
        <w:rPr>
          <w:color w:val="000000"/>
          <w:vertAlign w:val="superscript"/>
        </w:rPr>
        <w:t xml:space="preserve">−5</w:t>
      </w:r>
      <w:r>
        <w:rPr>
          <w:color w:val="000000"/>
        </w:rPr>
        <w:t xml:space="preserve">),</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and</w:t>
      </w:r>
      <w:r>
        <w:rPr>
          <w:color w:val="000000"/>
        </w:rPr>
        <w:t xml:space="preserve"> </w:t>
      </w:r>
      <w:r>
        <w:rPr>
          <w:iCs/>
          <w:i/>
          <w:color w:val="000000"/>
        </w:rPr>
        <w:t xml:space="preserve">CTLA4</w:t>
      </w:r>
      <w:r>
        <w:rPr>
          <w:color w:val="000000"/>
        </w:rPr>
        <w:t xml:space="preserve"> </w:t>
      </w:r>
      <w:r>
        <w:rPr>
          <w:color w:val="000000"/>
        </w:rPr>
        <w:t xml:space="preserve">(Table 2). Omitting rs149543464 (</w:t>
      </w:r>
      <w:r>
        <w:rPr>
          <w:iCs/>
          <w:i/>
          <w:color w:val="000000"/>
        </w:rPr>
        <w:t xml:space="preserve">TUBB</w:t>
      </w:r>
      <w:r>
        <w:rPr>
          <w:color w:val="000000"/>
        </w:rPr>
        <w:t xml:space="preserve">) or rs1269852 (</w:t>
      </w:r>
      <w:r>
        <w:rPr>
          <w:iCs/>
          <w:i/>
          <w:color w:val="000000"/>
        </w:rPr>
        <w:t xml:space="preserve">C4A</w:t>
      </w:r>
      <w:r>
        <w:rPr>
          <w:color w:val="000000"/>
        </w:rPr>
        <w:t xml:space="preserve">) raised the FinnGen GD</w:t>
      </w:r>
      <w:r>
        <w:rPr>
          <w:color w:val="000000"/>
        </w:rPr>
        <w:t xml:space="preserve"> </w:t>
      </w:r>
      <w:r>
        <w:rPr>
          <w:iCs/>
          <w:i/>
          <w:color w:val="000000"/>
        </w:rPr>
        <w:t xml:space="preserve">P</w:t>
      </w:r>
      <w:r>
        <w:rPr>
          <w:color w:val="000000"/>
        </w:rPr>
        <w:t xml:space="preserve"> </w:t>
      </w:r>
      <w:r>
        <w:rPr>
          <w:color w:val="000000"/>
        </w:rPr>
        <w:t xml:space="preserve">value to 0.0262 and 0.0471, respectively (Supplementary Dataset, LOO_new_fixed14).</w:t>
      </w:r>
    </w:p>
    <w:p>
      <w:pPr>
        <w:pStyle w:val="BodyText"/>
      </w:pPr>
      <w:r>
        <w:rPr>
          <w:color w:val="000000"/>
        </w:rPr>
        <w:t xml:space="preserve">With eQTLGen cohort allele frequencies, all 13 BBJ discoveries still passed the screen threshold,</w:t>
      </w:r>
      <w:r>
        <w:rPr>
          <w:color w:val="000000"/>
        </w:rPr>
        <w:t xml:space="preserve"> </w:t>
      </w:r>
      <w:r>
        <w:rPr>
          <w:iCs/>
          <w:i/>
          <w:color w:val="000000"/>
        </w:rPr>
        <w:t xml:space="preserve">TSHR</w:t>
      </w:r>
      <w:r>
        <w:rPr>
          <w:color w:val="000000"/>
        </w:rPr>
        <w:t xml:space="preserve"> </w:t>
      </w:r>
      <w:r>
        <w:rPr>
          <w:iCs/>
          <w:i/>
          <w:color w:val="000000"/>
        </w:rPr>
        <w:t xml:space="preserve">P</w:t>
      </w:r>
      <w:r>
        <w:rPr>
          <w:color w:val="000000"/>
        </w:rPr>
        <w:t xml:space="preserve"> </w:t>
      </w:r>
      <w:r>
        <w:rPr>
          <w:color w:val="000000"/>
        </w:rPr>
        <w:t xml:space="preserve">values were unchanged and no</w:t>
      </w:r>
      <w:r>
        <w:rPr>
          <w:color w:val="000000"/>
        </w:rPr>
        <w:t xml:space="preserve"> </w:t>
      </w:r>
      <w:r>
        <w:rPr>
          <w:iCs/>
          <w:i/>
          <w:color w:val="000000"/>
        </w:rPr>
        <w:t xml:space="preserve">IGF1R</w:t>
      </w:r>
      <w:r>
        <w:rPr>
          <w:color w:val="000000"/>
        </w:rPr>
        <w:t xml:space="preserve"> </w:t>
      </w:r>
      <w:r>
        <w:rPr>
          <w:iCs/>
          <w:i/>
          <w:color w:val="000000"/>
        </w:rPr>
        <w:t xml:space="preserve">P</w:t>
      </w:r>
      <w:r>
        <w:rPr>
          <w:color w:val="000000"/>
        </w:rPr>
        <w:t xml:space="preserve"> </w:t>
      </w:r>
      <w:r>
        <w:rPr>
          <w:color w:val="000000"/>
        </w:rPr>
        <w:t xml:space="preserve">value crossed 0.05 (Supplementary Dataset, MR_original_freq and MR_new_freq). Screen classification changed only in FinnGen GD:</w:t>
      </w:r>
      <w:r>
        <w:rPr>
          <w:color w:val="000000"/>
        </w:rPr>
        <w:t xml:space="preserve"> </w:t>
      </w:r>
      <w:r>
        <w:rPr>
          <w:iCs/>
          <w:i/>
          <w:color w:val="000000"/>
        </w:rPr>
        <w:t xml:space="preserve">C4B</w:t>
      </w:r>
      <w:r>
        <w:rPr>
          <w:color w:val="000000"/>
        </w:rPr>
        <w:t xml:space="preserve"> </w:t>
      </w:r>
      <w:r>
        <w:rPr>
          <w:color w:val="000000"/>
        </w:rPr>
        <w:t xml:space="preserve">no longer passed, and</w:t>
      </w:r>
      <w:r>
        <w:rPr>
          <w:color w:val="000000"/>
        </w:rPr>
        <w:t xml:space="preserve"> </w:t>
      </w:r>
      <w:r>
        <w:rPr>
          <w:iCs/>
          <w:i/>
          <w:color w:val="000000"/>
        </w:rPr>
        <w:t xml:space="preserve">HLA-G</w:t>
      </w:r>
      <w:r>
        <w:rPr>
          <w:color w:val="000000"/>
        </w:rPr>
        <w:t xml:space="preserve"> </w:t>
      </w:r>
      <w:r>
        <w:rPr>
          <w:color w:val="000000"/>
        </w:rPr>
        <w:t xml:space="preserve">newly passed; the IVW weight of rs150254595 in its estimate rose from 21.3% to 58.9% (Table S2; Supplementary Dataset, Instrument_weights). Omitting this variant left non-significant</w:t>
      </w:r>
      <w:r>
        <w:rPr>
          <w:color w:val="000000"/>
        </w:rPr>
        <w:t xml:space="preserve"> </w:t>
      </w:r>
      <w:r>
        <w:rPr>
          <w:iCs/>
          <w:i/>
          <w:color w:val="000000"/>
        </w:rPr>
        <w:t xml:space="preserve">HLA-G</w:t>
      </w:r>
      <w:r>
        <w:rPr>
          <w:color w:val="000000"/>
        </w:rPr>
        <w:t xml:space="preserve"> </w:t>
      </w:r>
      <w:r>
        <w:rPr>
          <w:color w:val="000000"/>
        </w:rPr>
        <w:t xml:space="preserve">estimates under either frequency source (Supplementary Dataset, LOO_frequency).</w:t>
      </w:r>
    </w:p>
    <w:bookmarkEnd w:id="31"/>
    <w:bookmarkStart w:id="32" w:name="colocalization"/>
    <w:p>
      <w:pPr>
        <w:pStyle w:val="Heading3"/>
      </w:pPr>
      <w:r>
        <w:rPr>
          <w:color w:val="000000"/>
        </w:rPr>
        <w:t xml:space="preserve">Colocalization</w:t>
      </w:r>
    </w:p>
    <w:p>
      <w:pPr>
        <w:pStyle w:val="FirstParagraph"/>
      </w:pPr>
      <w:r>
        <w:rPr>
          <w:iCs/>
          <w:i/>
          <w:color w:val="000000"/>
        </w:rPr>
        <w:t xml:space="preserve">TSHR</w:t>
      </w:r>
      <w:r>
        <w:rPr>
          <w:color w:val="000000"/>
        </w:rPr>
        <w:t xml:space="preserve"> </w:t>
      </w:r>
      <w:r>
        <w:rPr>
          <w:color w:val="000000"/>
        </w:rPr>
        <w:t xml:space="preserve">PP.H4 (probability of one shared causal variant) was 0.951 in BBJ, 0.986 in FinnGen ophthalmopathy and 0.891 in strict ophthalmopathy, but 0.226 in UKB and 0.264 in FinnGen GD, where PP.H3 (distinct variants) was highest (Table 2; Figures 2 and 3). The UKB and FinnGen GD values were unchanged in narrower regions and in a variant set common to all five datasets, and the matched variants included the strongest regional disease variant in each dataset (Table S3). Lowering the prior probability of a shared variant (p12) from 10</w:t>
      </w:r>
      <w:r>
        <w:rPr>
          <w:color w:val="000000"/>
          <w:vertAlign w:val="superscript"/>
        </w:rPr>
        <w:t xml:space="preserve">−5</w:t>
      </w:r>
      <w:r>
        <w:rPr>
          <w:color w:val="000000"/>
        </w:rPr>
        <w:t xml:space="preserve"> </w:t>
      </w:r>
      <w:r>
        <w:rPr>
          <w:color w:val="000000"/>
        </w:rPr>
        <w:t xml:space="preserve">to 10</w:t>
      </w:r>
      <w:r>
        <w:rPr>
          <w:color w:val="000000"/>
          <w:vertAlign w:val="superscript"/>
        </w:rPr>
        <w:t xml:space="preserve">−6</w:t>
      </w:r>
      <w:r>
        <w:rPr>
          <w:color w:val="000000"/>
        </w:rPr>
        <w:t xml:space="preserve"> </w:t>
      </w:r>
      <w:r>
        <w:rPr>
          <w:color w:val="000000"/>
        </w:rPr>
        <w:t xml:space="preserve">gave PP.H4 of 0.875 in FinnGen ophthalmopathy, 0.661 in BBJ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(UKB); in the other four datasets, PP.H2 (expression signal only) was highest (0.571–0.731).</w:t>
      </w:r>
      <w:r>
        <w:rPr>
          <w:color w:val="000000"/>
        </w:rPr>
        <w:t xml:space="preserve"> </w:t>
      </w:r>
      <w:r>
        <w:rPr>
          <w:iCs/>
          <w:i/>
          <w:color w:val="000000"/>
        </w:rPr>
        <w:t xml:space="preserve">CTLA4</w:t>
      </w:r>
      <w:r>
        <w:rPr>
          <w:color w:val="000000"/>
        </w:rPr>
        <w:t xml:space="preserve"> </w:t>
      </w:r>
      <w:r>
        <w:rPr>
          <w:color w:val="000000"/>
        </w:rPr>
        <w:t xml:space="preserve">PP.H4 was ≥ 0.80 in UKB and both ophthalmopathy endpoints but not in BBJ or FinnGen GD. None of the 24 genes reached PP.H4 ≥ 0.80 in FinnGen GD, and</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PP.H4 &lt; 0.001 in every dataset. Apart from</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only</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reached PP.H4 ≥ 0.80 in any dataset, both in BBJ only (Figure 3).</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the ten gene–tissue combinations had a qualifying instrument, each a single SNP:</w:t>
      </w:r>
      <w:r>
        <w:rPr>
          <w:color w:val="000000"/>
        </w:rPr>
        <w:t xml:space="preserve"> </w:t>
      </w:r>
      <w:r>
        <w:rPr>
          <w:iCs/>
          <w:i/>
          <w:color w:val="000000"/>
        </w:rPr>
        <w:t xml:space="preserve">TSHR</w:t>
      </w:r>
      <w:r>
        <w:rPr>
          <w:color w:val="000000"/>
        </w:rPr>
        <w:t xml:space="preserve"> </w:t>
      </w:r>
      <w:r>
        <w:rPr>
          <w:color w:val="000000"/>
        </w:rPr>
        <w:t xml:space="preserve">in subcutaneous and visceral adipose and</w:t>
      </w:r>
      <w:r>
        <w:rPr>
          <w:color w:val="000000"/>
        </w:rPr>
        <w:t xml:space="preserve"> </w:t>
      </w:r>
      <w:r>
        <w:rPr>
          <w:iCs/>
          <w:i/>
          <w:color w:val="000000"/>
        </w:rPr>
        <w:t xml:space="preserve">IGF1R</w:t>
      </w:r>
      <w:r>
        <w:rPr>
          <w:color w:val="000000"/>
        </w:rPr>
        <w:t xml:space="preserve"> </w:t>
      </w:r>
      <w:r>
        <w:rPr>
          <w:color w:val="000000"/>
        </w:rPr>
        <w:t xml:space="preserve">in thyroid and cultured fibroblasts. Thus, 20 of the 50 planned comparisons were estimable and 30 were not (Table S4). All ten adipose</w:t>
      </w:r>
      <w:r>
        <w:rPr>
          <w:color w:val="000000"/>
        </w:rPr>
        <w:t xml:space="preserve"> </w:t>
      </w:r>
      <w:r>
        <w:rPr>
          <w:iCs/>
          <w:i/>
          <w:color w:val="000000"/>
        </w:rPr>
        <w:t xml:space="preserve">TSHR</w:t>
      </w:r>
      <w:r>
        <w:rPr>
          <w:color w:val="000000"/>
        </w:rPr>
        <w:t xml:space="preserve"> </w:t>
      </w:r>
      <w:r>
        <w:rPr>
          <w:color w:val="000000"/>
        </w:rPr>
        <w:t xml:space="preserve">ORs were below 1, and eight, including both primary FinnGen GD comparisons, passed the multiple-testing threshold of their test family. The adipose instruments, rs12101255 (subcutaneous) and rs74064796 (visceral),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w:t>
      </w:r>
      <w:r>
        <w:rPr>
          <w:color w:val="000000"/>
          <w:vertAlign w:val="superscript"/>
        </w:rPr>
        <w:t xml:space="preserve">−34</w:t>
      </w:r>
      <w:r>
        <w:rPr>
          <w:color w:val="000000"/>
        </w:rPr>
        <w:t xml:space="preserve"> </w:t>
      </w:r>
      <w:r>
        <w:rPr>
          <w:color w:val="000000"/>
        </w:rPr>
        <w:t xml:space="preserve">and 6.5×10</w:t>
      </w:r>
      <w:r>
        <w:rPr>
          <w:color w:val="000000"/>
          <w:vertAlign w:val="superscript"/>
        </w:rPr>
        <w:t xml:space="preserve">−34</w:t>
      </w:r>
      <w:r>
        <w:rPr>
          <w:color w:val="000000"/>
        </w:rPr>
        <w:t xml:space="preserve">).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 adipose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No thyroid or cultured-fibroblast</w:t>
      </w:r>
      <w:r>
        <w:rPr>
          <w:color w:val="000000"/>
        </w:rPr>
        <w:t xml:space="preserve"> </w:t>
      </w:r>
      <w:r>
        <w:rPr>
          <w:iCs/>
          <w:i/>
          <w:color w:val="000000"/>
        </w:rPr>
        <w:t xml:space="preserve">IGF1R</w:t>
      </w:r>
      <w:r>
        <w:rPr>
          <w:color w:val="000000"/>
        </w:rPr>
        <w:t xml:space="preserve"> </w:t>
      </w:r>
      <w:r>
        <w:rPr>
          <w:color w:val="000000"/>
        </w:rPr>
        <w:t xml:space="preserve">estimate reached</w:t>
      </w:r>
      <w:r>
        <w:rPr>
          <w:color w:val="000000"/>
        </w:rPr>
        <w:t xml:space="preserve"> </w:t>
      </w:r>
      <w:r>
        <w:rPr>
          <w:iCs/>
          <w:i/>
          <w:color w:val="000000"/>
        </w:rPr>
        <w:t xml:space="preserve">P</w:t>
      </w:r>
      <w:r>
        <w:rPr>
          <w:color w:val="000000"/>
        </w:rPr>
        <w:t xml:space="preserve"> </w:t>
      </w:r>
      <w:r>
        <w:rPr>
          <w:color w:val="000000"/>
        </w:rPr>
        <w:t xml:space="preserve">&lt; 0.05, and directions were inconsistent across datasets.</w:t>
      </w:r>
    </w:p>
    <w:bookmarkEnd w:id="33"/>
    <w:bookmarkStart w:id="34" w:name="descriptive-orbital-expression"/>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patients with inactive TED exceeded those in the single control, whose sample came from a different fat depot; no significance testing was performed (Figure S1).</w:t>
      </w:r>
    </w:p>
    <w:bookmarkEnd w:id="34"/>
    <w:bookmarkEnd w:id="35"/>
    <w:bookmarkStart w:id="38" w:name="discussion"/>
    <w:p>
      <w:pPr>
        <w:pStyle w:val="Heading2"/>
      </w:pPr>
      <w:r>
        <w:rPr>
          <w:color w:val="000000"/>
        </w:rPr>
        <w:t xml:space="preserve">Discussion</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and FinnGen GD, with concordant directions for UKB hyperthyroidism and both ophthalmopathy endpoints. All five</w:t>
      </w:r>
      <w:r>
        <w:rPr>
          <w:color w:val="000000"/>
        </w:rPr>
        <w:t xml:space="preserve"> </w:t>
      </w:r>
      <w:r>
        <w:rPr>
          <w:iCs/>
          <w:i/>
          <w:color w:val="000000"/>
        </w:rPr>
        <w:t xml:space="preserve">IGF1R</w:t>
      </w:r>
      <w:r>
        <w:rPr>
          <w:color w:val="000000"/>
        </w:rPr>
        <w:t xml:space="preserve"> </w:t>
      </w:r>
      <w:r>
        <w:rPr>
          <w:color w:val="000000"/>
        </w:rPr>
        <w:t xml:space="preserve">ORs exceeded 1, but only BBJ and UKB were nominally significant, none passed the screen threshold, and FinnGen GD, the most precise, lay close to the null. Under the primary prior, colocalization favored a shared</w:t>
      </w:r>
      <w:r>
        <w:rPr>
          <w:color w:val="000000"/>
        </w:rPr>
        <w:t xml:space="preserve"> </w:t>
      </w:r>
      <w:r>
        <w:rPr>
          <w:iCs/>
          <w:i/>
          <w:color w:val="000000"/>
        </w:rPr>
        <w:t xml:space="preserve">TSHR</w:t>
      </w:r>
      <w:r>
        <w:rPr>
          <w:color w:val="000000"/>
        </w:rPr>
        <w:t xml:space="preserve"> </w:t>
      </w:r>
      <w:r>
        <w:rPr>
          <w:color w:val="000000"/>
        </w:rPr>
        <w:t xml:space="preserve">variant except in UKB and FinnGen GD. Significance for one gene but not the other is not a formal test of different effects.</w:t>
      </w:r>
    </w:p>
    <w:p>
      <w:pPr>
        <w:pStyle w:val="BodyText"/>
      </w:pPr>
      <w:r>
        <w:rPr>
          <w:color w:val="000000"/>
        </w:rPr>
        <w:t xml:space="preserve">Ji and colleagues linked blood</w:t>
      </w:r>
      <w:r>
        <w:rPr>
          <w:color w:val="000000"/>
        </w:rPr>
        <w:t xml:space="preserve"> </w:t>
      </w:r>
      <w:r>
        <w:rPr>
          <w:iCs/>
          <w:i/>
          <w:color w:val="000000"/>
        </w:rPr>
        <w:t xml:space="preserve">TSHR</w:t>
      </w:r>
      <w:r>
        <w:rPr>
          <w:color w:val="000000"/>
        </w:rPr>
        <w:t xml:space="preserve"> </w:t>
      </w:r>
      <w:r>
        <w:rPr>
          <w:color w:val="000000"/>
        </w:rPr>
        <w:t xml:space="preserve">expression to GD and strict ophthalmopathy in an earlier FinnGen release [9], and integrative work also investigated</w:t>
      </w:r>
      <w:r>
        <w:rPr>
          <w:color w:val="000000"/>
        </w:rPr>
        <w:t xml:space="preserve"> </w:t>
      </w:r>
      <w:r>
        <w:rPr>
          <w:iCs/>
          <w:i/>
          <w:color w:val="000000"/>
        </w:rPr>
        <w:t xml:space="preserve">TSHR</w:t>
      </w:r>
      <w:r>
        <w:rPr>
          <w:color w:val="000000"/>
        </w:rPr>
        <w:t xml:space="preserve"> </w:t>
      </w:r>
      <w:r>
        <w:rPr>
          <w:color w:val="000000"/>
        </w:rPr>
        <w:t xml:space="preserve">[11]. We add an</w:t>
      </w:r>
      <w:r>
        <w:rPr>
          <w:color w:val="000000"/>
        </w:rPr>
        <w:t xml:space="preserve"> </w:t>
      </w:r>
      <w:r>
        <w:rPr>
          <w:iCs/>
          <w:i/>
          <w:color w:val="000000"/>
        </w:rPr>
        <w:t xml:space="preserve">IGF1R</w:t>
      </w:r>
      <w:r>
        <w:rPr>
          <w:color w:val="000000"/>
        </w:rPr>
        <w:t xml:space="preserve"> </w:t>
      </w:r>
      <w:r>
        <w:rPr>
          <w:color w:val="000000"/>
        </w:rPr>
        <w:t xml:space="preserve">comparison, GD in two populations and a druggable-gene screen. Both studies used eQTLGen and FinnGen, so agreement is not fully independent. Ji and colleagues accepted PP.H4 above 0.50 [9], whereas we used PP.H4 ≥ 0.80 with p12 = 10</w:t>
      </w:r>
      <w:r>
        <w:rPr>
          <w:color w:val="000000"/>
          <w:vertAlign w:val="superscript"/>
        </w:rPr>
        <w:t xml:space="preserve">−5</w:t>
      </w:r>
      <w:r>
        <w:rPr>
          <w:color w:val="000000"/>
        </w:rPr>
        <w:t xml:space="preserve">; with different methods and releases, the labels are not directly comparable and differences are not contradictions.</w:t>
      </w:r>
    </w:p>
    <w:p>
      <w:pPr>
        <w:pStyle w:val="BodyText"/>
      </w:pPr>
      <w:r>
        <w:rPr>
          <w:color w:val="000000"/>
        </w:rPr>
        <w:t xml:space="preserve">The multi-instrument FinnGen and UKB</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 its direction-consistent associations across all five datasets support it as an autoimmune comparator [26].</w:t>
      </w:r>
      <w:r>
        <w:rPr>
          <w:color w:val="000000"/>
        </w:rPr>
        <w:t xml:space="preserve"> </w:t>
      </w:r>
      <w:r>
        <w:rPr>
          <w:iCs/>
          <w:i/>
          <w:color w:val="000000"/>
        </w:rPr>
        <w:t xml:space="preserve">HLA-A</w:t>
      </w:r>
      <w:r>
        <w:rPr>
          <w:color w:val="000000"/>
        </w:rPr>
        <w:t xml:space="preserve">, the strongest BBJ association, was non-significant in FinnGen GD, so the smallest discovery</w:t>
      </w:r>
      <w:r>
        <w:rPr>
          <w:color w:val="000000"/>
        </w:rPr>
        <w:t xml:space="preserve"> </w:t>
      </w:r>
      <w:r>
        <w:rPr>
          <w:iCs/>
          <w:i/>
          <w:color w:val="000000"/>
        </w:rPr>
        <w:t xml:space="preserve">P</w:t>
      </w:r>
      <w:r>
        <w:rPr>
          <w:color w:val="000000"/>
        </w:rPr>
        <w:t xml:space="preserve"> </w:t>
      </w:r>
      <w:r>
        <w:rPr>
          <w:color w:val="000000"/>
        </w:rPr>
        <w:t xml:space="preserve">value need not transfer best.</w:t>
      </w:r>
      <w:r>
        <w:rPr>
          <w:color w:val="000000"/>
        </w:rPr>
        <w:t xml:space="preserve"> </w:t>
      </w:r>
      <w:r>
        <w:rPr>
          <w:iCs/>
          <w:i/>
          <w:color w:val="000000"/>
        </w:rPr>
        <w:t xml:space="preserve">HLA-DQA2</w:t>
      </w:r>
      <w:r>
        <w:rPr>
          <w:color w:val="000000"/>
        </w:rPr>
        <w:t xml:space="preserve"> </w:t>
      </w:r>
      <w:r>
        <w:rPr>
          <w:color w:val="000000"/>
        </w:rPr>
        <w:t xml:space="preserve">was discordant only in its one two-instrument estimate, UKB, whose instruments were strongly heterogeneous (Supplementary Dataset, MR_estimators_original). With shared instruments, MHC linkage, single-variant dependence of the FinnGen GD</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estimates, one regional association behind the three chromosome 16p11.2 genes, and no shared-variant support for</w:t>
      </w:r>
      <w:r>
        <w:rPr>
          <w:color w:val="000000"/>
        </w:rPr>
        <w:t xml:space="preserve"> </w:t>
      </w:r>
      <w:r>
        <w:rPr>
          <w:iCs/>
          <w:i/>
          <w:color w:val="000000"/>
        </w:rPr>
        <w:t xml:space="preserve">HLA-DQA2</w:t>
      </w:r>
      <w:r>
        <w:rPr>
          <w:color w:val="000000"/>
        </w:rPr>
        <w:t xml:space="preserve"> </w:t>
      </w:r>
      <w:r>
        <w:rPr>
          <w:color w:val="000000"/>
        </w:rPr>
        <w:t xml:space="preserve">or</w:t>
      </w:r>
      <w:r>
        <w:rPr>
          <w:color w:val="000000"/>
        </w:rPr>
        <w:t xml:space="preserve"> </w:t>
      </w:r>
      <w:r>
        <w:rPr>
          <w:iCs/>
          <w:i/>
          <w:color w:val="000000"/>
        </w:rPr>
        <w:t xml:space="preserve">TUBB</w:t>
      </w:r>
      <w:r>
        <w:rPr>
          <w:color w:val="000000"/>
        </w:rPr>
        <w:t xml:space="preserve">, these associations cannot each be counted as an independent causal target.</w:t>
      </w:r>
    </w:p>
    <w:p>
      <w:pPr>
        <w:pStyle w:val="BodyText"/>
      </w:pPr>
      <w:r>
        <w:rPr>
          <w:color w:val="000000"/>
        </w:rPr>
        <w:t xml:space="preserve">The lower-odds direction need not contradict stimulating-antibody pathogenesis: blood transcript abundance, tissue expression and receptor activation are different exposures with tissue-dependent regulatory effects [25]. The expression-increasing rs179252-G allele is linked to rs179247-G, the GD-protective allele associated with greater intrathymic</w:t>
      </w:r>
      <w:r>
        <w:rPr>
          <w:color w:val="000000"/>
        </w:rPr>
        <w:t xml:space="preserve"> </w:t>
      </w:r>
      <w:r>
        <w:rPr>
          <w:iCs/>
          <w:i/>
          <w:color w:val="000000"/>
        </w:rPr>
        <w:t xml:space="preserve">TSHR</w:t>
      </w:r>
      <w:r>
        <w:rPr>
          <w:color w:val="000000"/>
        </w:rPr>
        <w:t xml:space="preserve"> </w:t>
      </w:r>
      <w:r>
        <w:rPr>
          <w:color w:val="000000"/>
        </w:rPr>
        <w:t xml:space="preserve">transcription [27, 28]; this fits central tolerance, though the thymic step was untested and neither variant is a proven causal regulator. Each rs179252-G allele raises blood expression by 0.105 standard deviation, and its per-allele disease ORs were 0.80 (BBJ), 0.77 (UKB), 0.78 (FinnGen ophthalmopathy), 0.77 (FinnGen GD) and 0.82 (strict ophthalmopathy); rescaled to one standard deviation, these moderate effects give the reported odds ratios, which describe lifelong inherited differences, not raised</w:t>
      </w:r>
      <w:r>
        <w:rPr>
          <w:color w:val="000000"/>
        </w:rPr>
        <w:t xml:space="preserve"> </w:t>
      </w:r>
      <w:r>
        <w:rPr>
          <w:iCs/>
          <w:i/>
          <w:color w:val="000000"/>
        </w:rPr>
        <w:t xml:space="preserve">TSHR</w:t>
      </w:r>
      <w:r>
        <w:rPr>
          <w:color w:val="000000"/>
        </w:rPr>
        <w:t xml:space="preserve"> </w:t>
      </w:r>
      <w:r>
        <w:rPr>
          <w:color w:val="000000"/>
        </w:rPr>
        <w:t xml:space="preserve">expression or TSHR-directed treatment.</w:t>
      </w:r>
    </w:p>
    <w:p>
      <w:pPr>
        <w:pStyle w:val="BodyText"/>
      </w:pPr>
      <w:r>
        <w:rPr>
          <w:color w:val="000000"/>
        </w:rPr>
        <w:t xml:space="preserve">Very small</w:t>
      </w:r>
      <w:r>
        <w:rPr>
          <w:color w:val="000000"/>
        </w:rPr>
        <w:t xml:space="preserve"> </w:t>
      </w:r>
      <w:r>
        <w:rPr>
          <w:iCs/>
          <w:i/>
          <w:color w:val="000000"/>
        </w:rPr>
        <w:t xml:space="preserve">TSHR</w:t>
      </w:r>
      <w:r>
        <w:rPr>
          <w:color w:val="000000"/>
        </w:rPr>
        <w:t xml:space="preserve"> </w:t>
      </w:r>
      <w:r>
        <w:rPr>
          <w:color w:val="000000"/>
        </w:rPr>
        <w:t xml:space="preserve">MR</w:t>
      </w:r>
      <w:r>
        <w:rPr>
          <w:color w:val="000000"/>
        </w:rPr>
        <w:t xml:space="preserve"> </w:t>
      </w:r>
      <w:r>
        <w:rPr>
          <w:iCs/>
          <w:i/>
          <w:color w:val="000000"/>
        </w:rPr>
        <w:t xml:space="preserve">P</w:t>
      </w:r>
      <w:r>
        <w:rPr>
          <w:color w:val="000000"/>
        </w:rPr>
        <w:t xml:space="preserve"> </w:t>
      </w:r>
      <w:r>
        <w:rPr>
          <w:color w:val="000000"/>
        </w:rPr>
        <w:t xml:space="preserve">values in UKB and FinnGen GD coexisted with distinct-variant patterns, as for</w:t>
      </w:r>
      <w:r>
        <w:rPr>
          <w:color w:val="000000"/>
        </w:rPr>
        <w:t xml:space="preserve"> </w:t>
      </w:r>
      <w:r>
        <w:rPr>
          <w:iCs/>
          <w:i/>
          <w:color w:val="000000"/>
        </w:rPr>
        <w:t xml:space="preserve">CTLA4</w:t>
      </w:r>
      <w:r>
        <w:rPr>
          <w:color w:val="000000"/>
        </w:rPr>
        <w:t xml:space="preserve"> </w:t>
      </w:r>
      <w:r>
        <w:rPr>
          <w:color w:val="000000"/>
        </w:rPr>
        <w:t xml:space="preserve">in BBJ and FinnGen GD, so association strength and shared-variant evidence are not interchangeable: a non-zero MR estimate can arise from distinct but correlated variants [29]. These two datasets had the most cases, and their strongest regional disease variant was more strongly associated than rs179252 (Table S3); regional checks excluded a missing-peak explanation but did not identify the causal variant. Support in BBJ and strict ophthalmopathy fell below 0.80 only at the lowest prior tested (Figure 3B). The adipose instruments are themselves blood</w:t>
      </w:r>
      <w:r>
        <w:rPr>
          <w:color w:val="000000"/>
        </w:rPr>
        <w:t xml:space="preserve"> </w:t>
      </w:r>
      <w:r>
        <w:rPr>
          <w:iCs/>
          <w:i/>
          <w:color w:val="000000"/>
        </w:rPr>
        <w:t xml:space="preserve">TSHR</w:t>
      </w:r>
      <w:r>
        <w:rPr>
          <w:color w:val="000000"/>
        </w:rPr>
        <w:t xml:space="preserve"> </w:t>
      </w:r>
      <w:r>
        <w:rPr>
          <w:color w:val="000000"/>
        </w:rPr>
        <w:t xml:space="preserve">eQTLs, so their estimates re-express the regional association and cannot resolve the pattern or establish an adipose mechanism. These data establish association, not expression-mediated causality.</w:t>
      </w:r>
    </w:p>
    <w:p>
      <w:pPr>
        <w:pStyle w:val="BodyText"/>
      </w:pPr>
      <w:r>
        <w:rPr>
          <w:color w:val="000000"/>
        </w:rPr>
        <w:t xml:space="preserve">In mice, the shed TSHR A-subunit induced more thyroid-stimulating autoimmunity than a minimally cleaving receptor [30]; plasmid immunization reproduced orbital adipogenesis, fibrosis and muscle pathology [31], and orbital fibroblasts from immunized mice showed enhanced inflammatory and hyaluronan responses to TNFα [32]. Ophthalmopathy also occurs in euthyroid and hypothyroid patients [33]. Our instruments measure neither receptor cleavage nor antibody activity. Because most patients with TED have GD, the controls included people with GD but no recorded eye disease, and the ophthalmopathy per-allele ORs resembled those for GD (Table S3), these estimates may mostly reflect GD susceptibility; their higher PP.H4 values, from the two smallest, weakest-signal datasets, do not establish a TED-specific effect.</w:t>
      </w:r>
    </w:p>
    <w:p>
      <w:pPr>
        <w:pStyle w:val="BodyText"/>
      </w:pPr>
      <w:r>
        <w:rPr>
          <w:color w:val="000000"/>
        </w:rPr>
        <w:t xml:space="preserve">For</w:t>
      </w:r>
      <w:r>
        <w:rPr>
          <w:color w:val="000000"/>
        </w:rPr>
        <w:t xml:space="preserve"> </w:t>
      </w:r>
      <w:r>
        <w:rPr>
          <w:iCs/>
          <w:i/>
          <w:color w:val="000000"/>
        </w:rPr>
        <w:t xml:space="preserve">IGF1R</w:t>
      </w:r>
      <w:r>
        <w:rPr>
          <w:color w:val="000000"/>
        </w:rPr>
        <w:t xml:space="preserve">, blood expression-related evidence was limited: colocalization mostly favored an expression-only signal, consistent with weak regional disease signals, and some single-variant omissions removed nominal significance, though most left ORs close to the full estimates (Figure S2). The near-null FinnGen GD estimate argues against large, but not modest, effects; non-significance is not evidence of no inherited role. Single-instrument tissue estimates and absent orbital eQTL data leave tissue effects open.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reduced proptosis in a randomized trial in active TED [3] and in long-duration, low-activity TED [34], and TSHR–IGF-1R crosstalk [5] concerns receptor signaling, not inherited susceptibility.</w:t>
      </w:r>
    </w:p>
    <w:p>
      <w:pPr>
        <w:pStyle w:val="BodyText"/>
      </w:pPr>
      <w:r>
        <w:rPr>
          <w:color w:val="000000"/>
        </w:rPr>
        <w:t xml:space="preserve">These results inform research rather than treatment selection, leaving unresolved the tissue mediating the</w:t>
      </w:r>
      <w:r>
        <w:rPr>
          <w:color w:val="000000"/>
        </w:rPr>
        <w:t xml:space="preserve"> </w:t>
      </w:r>
      <w:r>
        <w:rPr>
          <w:iCs/>
          <w:i/>
          <w:color w:val="000000"/>
        </w:rPr>
        <w:t xml:space="preserve">TSHR</w:t>
      </w:r>
      <w:r>
        <w:rPr>
          <w:color w:val="000000"/>
        </w:rPr>
        <w:t xml:space="preserve"> </w:t>
      </w:r>
      <w:r>
        <w:rPr>
          <w:color w:val="000000"/>
        </w:rPr>
        <w:t xml:space="preserve">association and any inherited</w:t>
      </w:r>
      <w:r>
        <w:rPr>
          <w:color w:val="000000"/>
        </w:rPr>
        <w:t xml:space="preserve"> </w:t>
      </w:r>
      <w:r>
        <w:rPr>
          <w:iCs/>
          <w:i/>
          <w:color w:val="000000"/>
        </w:rPr>
        <w:t xml:space="preserve">IGF1R</w:t>
      </w:r>
      <w:r>
        <w:rPr>
          <w:color w:val="000000"/>
        </w:rPr>
        <w:t xml:space="preserve"> </w:t>
      </w:r>
      <w:r>
        <w:rPr>
          <w:color w:val="000000"/>
        </w:rPr>
        <w:t xml:space="preserve">contribution, which independent instruments, thymic and orbital regulatory data and multi-signal colocalization could address. Orbital susceptibility requires comparing GD patients with and without TED, accounting for follow-up and selection into GD.</w:t>
      </w:r>
    </w:p>
    <w:bookmarkStart w:id="36" w:name="limitations"/>
    <w:p>
      <w:pPr>
        <w:pStyle w:val="Heading3"/>
      </w:pPr>
      <w:r>
        <w:rPr>
          <w:color w:val="000000"/>
        </w:rPr>
        <w:t xml:space="preserve">Limitations</w:t>
      </w:r>
    </w:p>
    <w:p>
      <w:pPr>
        <w:pStyle w:val="FirstParagraph"/>
      </w:pPr>
      <w:r>
        <w:rPr>
          <w:color w:val="000000"/>
        </w:rPr>
        <w:t xml:space="preserve">BBJ analyses assumed that predominantly European eQTLGen effects and LD transfer to East Asians, in both the MR and colocalization. UKB self-reported hyperthyroidism is broader than GD and was not established as exclusively European. The three overlapping, population-controlled FinnGen endpoints are not independent replications, do not compare GD patients with and without TED, and cannot separate cohort from phenotype differences; participant overlap with eQTLGen was unquantified. Blood is neither thymus nor orbit: the predominantly European GTEx extension had four single-instrument gene–tissue combinations, reused the disease data and lacked colocalization, and adipose and cultured fibroblasts are not orbital tissue, with 30 unestimable comparisons that are not negative findings. The orbital series (inactive TED; one control from a different fat depot) is descriptive only.</w:t>
      </w:r>
    </w:p>
    <w:p>
      <w:pPr>
        <w:pStyle w:val="BodyText"/>
      </w:pPr>
      <w:r>
        <w:rPr>
          <w:color w:val="000000"/>
        </w:rPr>
        <w:t xml:space="preserve">The FinnGen extensions, candidate expansion and colocalization emphasis were post hoc, and only the discovery and focused thresholds address specified test families. The single</w:t>
      </w:r>
      <w:r>
        <w:rPr>
          <w:color w:val="000000"/>
        </w:rPr>
        <w:t xml:space="preserve"> </w:t>
      </w:r>
      <w:r>
        <w:rPr>
          <w:iCs/>
          <w:i/>
          <w:color w:val="000000"/>
        </w:rPr>
        <w:t xml:space="preserve">TSHR</w:t>
      </w:r>
      <w:r>
        <w:rPr>
          <w:color w:val="000000"/>
        </w:rPr>
        <w:t xml:space="preserve"> </w:t>
      </w:r>
      <w:r>
        <w:rPr>
          <w:color w:val="000000"/>
        </w:rPr>
        <w:t xml:space="preserve">instrument precludes pleiotropy and omission tests and cannot exclude neighboring or correlated variants; other genes have few or heterogeneous instruments, MR-Egger has little power with three or four</w:t>
      </w:r>
      <w:r>
        <w:rPr>
          <w:color w:val="000000"/>
        </w:rPr>
        <w:t xml:space="preserve"> </w:t>
      </w:r>
      <w:r>
        <w:rPr>
          <w:iCs/>
          <w:i/>
          <w:color w:val="000000"/>
        </w:rPr>
        <w:t xml:space="preserve">IGF1R</w:t>
      </w:r>
      <w:r>
        <w:rPr>
          <w:color w:val="000000"/>
        </w:rPr>
        <w:t xml:space="preserve"> </w:t>
      </w:r>
      <w:r>
        <w:rPr>
          <w:color w:val="000000"/>
        </w:rPr>
        <w:t xml:space="preserve">instruments, and frequency substitution and omission reused the same data. Under the single-causal-variant model, a low PP.H4 can reflect model mismatch or complex MHC LD; multi-signal colocalization [35], directionality and formal between-phenotype or between-gene tests were not performed, and only 24 genes were assessed. At the screen threshold, most BBJ genes lacked 80% power for an OR of 1.5, so a non-significant MR result, a PP.H4 below 0.80 or an unestimable comparison does not establish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GD, hyperthyroidism and ophthalmopathy in every dataset.</w:t>
      </w:r>
      <w:r>
        <w:rPr>
          <w:color w:val="000000"/>
        </w:rPr>
        <w:t xml:space="preserve"> </w:t>
      </w:r>
      <w:r>
        <w:rPr>
          <w:iCs/>
          <w:i/>
          <w:color w:val="000000"/>
        </w:rPr>
        <w:t xml:space="preserve">IGF1R</w:t>
      </w:r>
      <w:r>
        <w:rPr>
          <w:color w:val="000000"/>
        </w:rPr>
        <w:t xml:space="preserve"> </w:t>
      </w:r>
      <w:r>
        <w:rPr>
          <w:color w:val="000000"/>
        </w:rPr>
        <w:t xml:space="preserve">odds ratios exceeded 1 in every dataset but nominally significant only in BBJ and UKB, and the most precise estimate, FinnGen GD, lay close to the null. Colocalization supported a shared</w:t>
      </w:r>
      <w:r>
        <w:rPr>
          <w:color w:val="000000"/>
        </w:rPr>
        <w:t xml:space="preserve"> </w:t>
      </w:r>
      <w:r>
        <w:rPr>
          <w:iCs/>
          <w:i/>
          <w:color w:val="000000"/>
        </w:rPr>
        <w:t xml:space="preserve">TSHR</w:t>
      </w:r>
      <w:r>
        <w:rPr>
          <w:color w:val="000000"/>
        </w:rPr>
        <w:t xml:space="preserve"> </w:t>
      </w:r>
      <w:r>
        <w:rPr>
          <w:color w:val="000000"/>
        </w:rPr>
        <w:t xml:space="preserve">variant in FinnGen ophthalmopathy and, except at the lowest prior tested, in BBJ and strict ophthalmopathy, but favored distinct variants in UKB and FinnGen GD. These analyses addressed disease susceptibility, not treatment response, and the</w:t>
      </w:r>
      <w:r>
        <w:rPr>
          <w:color w:val="000000"/>
        </w:rPr>
        <w:t xml:space="preserve"> </w:t>
      </w:r>
      <w:r>
        <w:rPr>
          <w:iCs/>
          <w:i/>
          <w:color w:val="000000"/>
        </w:rPr>
        <w:t xml:space="preserve">IGF1R</w:t>
      </w:r>
      <w:r>
        <w:rPr>
          <w:color w:val="000000"/>
        </w:rPr>
        <w:t xml:space="preserve"> </w:t>
      </w:r>
      <w:r>
        <w:rPr>
          <w:color w:val="000000"/>
        </w:rPr>
        <w:t xml:space="preserve">evidence does not argue against IGF-1R blockade. The ophthalmopathy analyses used population controls and did not estimate TED susceptibility among patients with GD.</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conceived and designed the study, performed the analyses, and drafted the manuscript. M.-S.K. contributed to data collection and interpretation. K.-H.S. and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Smith TJ. The insulin-like growth factor-I receptor and its role in thyroid-associated ophthalmopathy. Eye (Lond). 2019;33:200-205. doi:10.1038/s41433-018-0265-2.</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Potential Roles of CD34+ Fibrocytes Masquerading as Orbital Fibroblasts in Thyroid-Associated Ophthalmopathy. J Clin Endocrinol Metab. 2019;104:581-594. doi:10.1210/jc.2018-01493.</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Li Y, Chen L, Lin S, An W, Miao L, Wan M, Zhang B. Inflammatory Proteins Mediate the Effect of Gut Microbiota on Graves’ Ophthalmopathy: A Mendelian Randomization Study. Transl Vis Sci Technol. 2025;14:34. doi:10.1167/tvst.14.6.34.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Zuber V, Grinberg NF, Gill D, Manipur I, Slob EAW, Patel A, Wallace C, Burgess S. Combining evidence from Mendelian randomization and colocalization: Review and comparison of approaches. Am J Hum Genet. 2022;109:767-782. doi:10.1016/j.ajhg.2022.04.001.</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MR, Mendelian randomization;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Kyung-Hwa Shin; Suk-Woo Yang</dc:creator>
  <cp:keywords/>
  <dcterms:created xsi:type="dcterms:W3CDTF">2026-10-18T14:40:45Z</dcterms:created>
  <dcterms:modified xsi:type="dcterms:W3CDTF">2026-10-18T14:40:45Z</dcterms:modified>
  <cp:lastModifiedBy/>
  <dc:description/>
</cp:coreProperties>
</file>

<file path=docProps/custom.xml><?xml version="1.0" encoding="utf-8"?>
<Properties xmlns="http://schemas.openxmlformats.org/officeDocument/2006/custom-properties" xmlns:vt="http://schemas.openxmlformats.org/officeDocument/2006/docPropsVTypes"/>
</file>