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11 September 2026</w:t>
      </w:r>
    </w:p>
    <w:p>
      <w:pPr>
        <w:pStyle w:val="BodyText"/>
        <w:widowControl/>
      </w:pPr>
      <w:r>
        <w:t xml:space="preserve">The Editors</w:t>
      </w:r>
      <w:r>
        <w:br/>
      </w:r>
      <w:r>
        <w:rPr>
          <w:iCs/>
          <w:i/>
        </w:rPr>
        <w:t xml:space="preserve">Endocrine Connections</w:t>
      </w:r>
    </w:p>
    <w:p>
      <w:pPr>
        <w:pStyle w:val="BodyText"/>
        <w:widowControl/>
      </w:pPr>
      <w:r>
        <w:t xml:space="preserve">Dear Editors,</w:t>
      </w:r>
    </w:p>
    <w:p>
      <w:pPr>
        <w:pStyle w:val="BodyText"/>
        <w:widowControl/>
      </w:pPr>
      <w:r>
        <w:t xml:space="preserve">Please consider</w:t>
      </w:r>
      <w:r>
        <w:t xml:space="preserve"> </w:t>
      </w:r>
      <w:r>
        <w:t xml:space="preserve">“</w:t>
      </w:r>
      <w:r>
        <w:t xml:space="preserve">Genetic evidence for TSHR and IGF1R in Graves disease and thyroid eye disease</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2026-09-11T03:42:21Z</dcterms:created>
  <dcterms:modified xsi:type="dcterms:W3CDTF">2026-09-11T03:42:21Z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