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Genetic evidence for TSHR and IGF1R in Graves disease and thyroid eye disease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[12–15].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S1–S4.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 and frequency sensitivity.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and frequency sensitivity in Tables S2–S4.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S1–S4; Figure S1. Steiger and bidirectional MR were not applied; tissue data are descriptive; no leave-one-out result is reported.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1–4 provide instruments, primary results and frequency-sensitivity MR, coloc and power summaries.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20"/>
    <w:sectPr>
      <w:footerReference w:type="default" r:id="rId9"/>
      <w:footerReference w:type="first" r:id="rId10"/>
      <w:footerReference w:type="even" r:id="rId11"/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2026-09-11T03:42:21Z</dcterms:created>
  <dcterms:modified xsi:type="dcterms:W3CDTF">2026-09-11T03:42:21Z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