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Genetic evidence for TSHR and IGF1R in Graves disease and thyroid eye disease</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Instrument selection used cis-eQTL</w:t>
      </w:r>
      <w:r>
        <w:t xml:space="preserve"> </w:t>
      </w:r>
      <w:r>
        <w:rPr>
          <w:iCs/>
          <w:i/>
        </w:rPr>
        <w:t xml:space="preserve">P</w:t>
      </w:r>
      <w:r>
        <w:t xml:space="preserve"> </w:t>
      </w:r>
      <w:r>
        <w:t xml:space="preserve">&lt; 5×10⁻⁸, a ±1-Mb gene window, and LD clumping at r² &lt; 0.001 within 10 Mb using 1000 Genomes Phase 3 European samples (n = 503). Exposure standard errors were reconstructed as SE = 1/√[2f(1−f)(N + Z²)] and β = Z × SE, where f is allele frequency and N is the variant-specific eQTL sample size [17]. This defines the reconstructed expression unit used for reported ORs.</w:t>
      </w:r>
    </w:p>
    <w:p>
      <w:pPr>
        <w:pStyle w:val="BodyText"/>
        <w:widowControl/>
      </w:pPr>
      <w:r>
        <w:t xml:space="preserve">TwoSampleMR harmonise_data with action = 2 aligned exposure and outcome alleles. Palindromic variants with intermediate frequency (MAF &gt; 0.42) were excluded. Missing estimates were not imputed. BBJ and FinnGen effect estimates were used on their reported log-odds scales. UKB linear-model β and SE were divided by μ(1−μ), where μ = 3,731/484,598, to approximate log-odds estimates. Original GWAS covariate adjustments were retained; participant-level re-adjustment was unavailable.</w:t>
      </w:r>
    </w:p>
    <w:bookmarkEnd w:id="20"/>
    <w:bookmarkStart w:id="21" w:name="Xe2db2cdedeee9b045b6a58caa8682c2fa8246af"/>
    <w:p>
      <w:pPr>
        <w:pStyle w:val="Heading3"/>
        <w:widowControl/>
      </w:pPr>
      <w:r>
        <w:t xml:space="preserve">Checks using multiple instruments and regional linkage</w:t>
      </w:r>
    </w:p>
    <w:p>
      <w:pPr>
        <w:pStyle w:val="FirstParagraph"/>
        <w:widowControl/>
      </w:pPr>
      <w:r>
        <w:t xml:space="preserve">For multiple instruments, the primary IVW analysis used TwoSampleMR’s multiplicative random-effects method with an under-dispersion correction. Weighted-median and weighted-mode estimates, the MR-Egger intercept and Cochran’s Q were inspected where estimable (Table S1) [20, 21]. With three or four instruments, a non-significant intercept has limited ability to exclude pleiotropy. Steiger directionality [22], bidirectional MR and leave-one-out analyses were not reported. Single-instrument analyses were limited to the Wald ratio.</w:t>
      </w:r>
    </w:p>
    <w:p>
      <w:pPr>
        <w:pStyle w:val="BodyText"/>
        <w:widowControl/>
      </w:pPr>
      <w:r>
        <w:t xml:space="preserve">At</w:t>
      </w:r>
      <w:r>
        <w:t xml:space="preserve"> </w:t>
      </w:r>
      <w:r>
        <w:rPr>
          <w:iCs/>
          <w:i/>
        </w:rPr>
        <w:t xml:space="preserve">TSHR</w:t>
      </w:r>
      <w:r>
        <w:t xml:space="preserve">, clumping was repeated using eQTL thresholds of 5×10⁻⁸ and 5×10⁻⁶, r² thresholds of 0.001, 0.01 and 0.1, and European (n = 503) or East Asian (n = 504) reference panels. rs179252 remained an index variant in all 12 combinations. The primary settings selected one instrument in Europeans and two in East Asians; relaxed settings yielded up to 12. These checks support retention of the selected instrument, not a single-signal model in every ancestry. The full clumping counts are preserved with the analysis records.</w:t>
      </w:r>
    </w:p>
    <w:p>
      <w:pPr>
        <w:pStyle w:val="BodyText"/>
        <w:widowControl/>
      </w:pPr>
      <w:r>
        <w:t xml:space="preserve">The chromosome 16p11.2 variants rs4889606, rs34649473 and rs78924645 span approximately 143 kb. Their East Asian pairwise r² values were 0.854, 0.761 and 0.863. GCTA-COJO conditional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After conditioning, the three marginal associations had</w:t>
      </w:r>
      <w:r>
        <w:t xml:space="preserve"> </w:t>
      </w:r>
      <w:r>
        <w:rPr>
          <w:iCs/>
          <w:i/>
        </w:rPr>
        <w:t xml:space="preserve">P</w:t>
      </w:r>
      <w:r>
        <w:t xml:space="preserve"> </w:t>
      </w:r>
      <w:r>
        <w:t xml:space="preserve">values of 0.928, 0.839 and 0.806, respectively. This supports regional dependence and does not identify a particular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was applied to available gene-specific cis-eQTL variants matched to each outcome by rsID and allele pair, avoiding comparisons of genomic windows across GRCh37 expression and GRCh38 outcome coordinates. Duplicate rsIDs and allele-pair mismatches were excluded. Both datasets used β and its variance. Dataset 1 was the outcome GWAS and dataset 2 the expression exposure; expression sdY was set to 1. Outcome allele frequencies were not used in the Bayes factors.</w:t>
      </w:r>
    </w:p>
    <w:p>
      <w:pPr>
        <w:pStyle w:val="BodyText"/>
        <w:widowControl/>
      </w:pPr>
      <w:r>
        <w:t xml:space="preserve">The five model probabilities describe neither trait associated (H0), outcome only (H1), expression only (H2), both traits with distinct variants (H3), and both traits with a shared variant (H4). The default priors were p1 = p2 = 10⁻⁴ and p12 = 10⁻⁵; p12 values of 10⁻⁶ and 5×10⁻⁶ tested more conservative shared-association assumptions [23]. Table S2 presents the selected genes; Supplementary Data 3 retains all nine genes, three outcomes and three priors. Low H4 does not demonstrate that disease association is absent. Neither multi-variant colocalization nor formal colocalization power was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represents 26,609 participants and excludes the Framingham Heart Study. All 50,245 requested SNPs, including all 6,135 instrument records, had valid frequencies and matching GRCh37 positions. Frequencies were aligned to the assessed allele, then β and SE were reconstructed while retaining the original Z and sample size. The maximum change in Z was 5.54×10⁻¹³. We compared identical retained variants and then repeated action = 2 harmonization. Across outcomes, 27 inclusion decisions changed: 24 involved palindromic frequency decisions and three restored missing reference frequencies. No retained outcome estimate changed direction. Estimable counts became 2,232 BBJ, 2,506 UKB and 2,481 FinnGen genes; the multiple-testing denominator remained 2,544.</w:t>
      </w:r>
    </w:p>
    <w:p>
      <w:pPr>
        <w:pStyle w:val="BodyText"/>
        <w:widowControl/>
      </w:pPr>
      <w:r>
        <w:t xml:space="preserve">The same frequency substitution was applied to all 81 colocalization settings. Maximum absolute H4 changes were 0.000245 on identical variants and 0.002142 after additionally including variants with newly available frequencies; none crossed 0.80. Primary MR was independently checked by a second implementation. Frequency substitution reran Wald/IVW estimates, colocalization and detection thresholds; it did not rerun every alternative MR estimator in Table S1.</w:t>
      </w:r>
    </w:p>
    <w:p>
      <w:pPr>
        <w:pStyle w:val="BodyText"/>
        <w:widowControl/>
      </w:pPr>
      <w:r>
        <w:t xml:space="preserve">For comparison with the primary analysis, the minimum detectable absolute MR effect at 80% power was approximated as (z₁₋α/₂ + z₀.₈₀) × SE. Alpha was 0.05/2,544 in BBJ and 0.05 in UKB/FinnGen. Exponentiation gives the detectable OR. Percentages use the estimable-gene denominator for each scenario (Table S4). These are normal-approximation association-detection metrics based on observed standard errors, not the power of colocalization or of the combined selection rule. They do not turn a non-significant association into evidence of absence.</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comprised four TED patients and one control. Technical replicates were combined by biological sample, and abundance was expressed as transcripts per million. The plotted log2 fold change was log2[(mean TED TPM + 0.01)/(control TPM + 0.01)]. With one control, control-group biological variance cannot be estimated; no differential-expression</w:t>
      </w:r>
      <w:r>
        <w:t xml:space="preserve"> </w:t>
      </w:r>
      <w:r>
        <w:rPr>
          <w:iCs/>
          <w:i/>
        </w:rPr>
        <w:t xml:space="preserve">P</w:t>
      </w:r>
      <w:r>
        <w:t xml:space="preserve"> </w:t>
      </w:r>
      <w:r>
        <w:t xml:space="preserve">value or confirmatory test is reported. The dataset was not externally replicated and contributes no inferential evidence to the genetic comparison (Figure S1).</w:t>
      </w:r>
    </w:p>
    <w:p>
      <w:pPr>
        <w:sectPr>
          <w:footerReference w:type="default" r:id="rId10"/>
          <w:footerReference w:type="first" r:id="rId11"/>
          <w:footerReference w:type="even" r:id="rId12"/>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w:t>
      </w:r>
    </w:p>
    <w:p>
      <w:pPr>
        <w:pStyle w:val="BodyText"/>
        <w:keepNext/>
        <w:pageBreakBefore/>
        <w:widowControl/>
        <w:spacing w:line="264" w:lineRule="auto" w:after="140"/>
      </w:pPr>
      <w:r>
        <w:rPr>
          <w:bCs/>
          <w:b/>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widowControl/>
        <w:spacing w:line="264" w:lineRule="auto" w:after="140"/>
      </w:pPr>
      <w:r>
        <w:rPr>
          <w:sz w:val="20"/>
        </w:rPr>
        <w:t xml:space="preserve">Entries are PP.H4, not</w:t>
      </w:r>
      <w:r>
        <w:rPr>
          <w:sz w:val="20"/>
        </w:rPr>
        <w:t xml:space="preserve"> </w:t>
      </w:r>
      <w:r>
        <w:rPr>
          <w:iCs/>
          <w:i/>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p>
      <w:pPr>
        <w:pStyle w:val="BodyText"/>
        <w:keepNext/>
        <w:pageBreakBefore/>
        <w:widowControl/>
        <w:spacing w:line="264" w:lineRule="auto" w:after="140"/>
      </w:pPr>
      <w:r>
        <w:rPr>
          <w:bCs/>
          <w:b/>
          <w:sz w:val="20"/>
        </w:rPr>
        <w:t xml:space="preserve">Table S3.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3"/>
        <w:gridCol w:w="3319"/>
        <w:gridCol w:w="1543"/>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S4.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bookmarkEnd w:id="24"/>
    <w:bookmarkEnd w:id="25"/>
    <w:bookmarkEnd w:id="26"/>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2026-09-11T03:42:21Z</dcterms:created>
  <dcterms:modified xsi:type="dcterms:W3CDTF">2026-09-11T03:42:21Z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