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widowControl/>
      </w:pPr>
      <w:r>
        <w:rPr>
          <w:b/>
          <w:bCs/>
        </w:rPr>
        <w:t xml:space="preserve">Running head:</w:t>
      </w:r>
      <w:r>
        <w:t xml:space="preserve"> </w:t>
      </w:r>
      <w:r>
        <w:t xml:space="preserve">TSHR and IGF1R genetics in Graves disease</w:t>
      </w:r>
    </w:p>
    <w:bookmarkStart w:id="28" w:name="Xf588694525d787d8d8044e892b46f091a821748"/>
    <w:p>
      <w:pPr>
        <w:pStyle w:val="Title"/>
        <w:widowControl/>
      </w:pPr>
      <w:r>
        <w:t xml:space="preserve">TSHR and IGF1R expression in Graves disease: Mendelian randomization and colocalization</w:t>
      </w:r>
    </w:p>
    <w:p>
      <w:pPr>
        <w:pStyle w:val="FirstParagraph"/>
        <w:widowControl/>
      </w:pPr>
      <w:r>
        <w:t xml:space="preserve">Jungyul Park¹, Min-Seon Kim², Kyung-Hwa Shin³⁎, Suk-Woo Yang¹⁎</w:t>
      </w:r>
    </w:p>
    <w:p>
      <w:pPr>
        <w:pStyle w:val="BodyText"/>
        <w:widowControl/>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widowControl/>
      </w:pPr>
      <w:r>
        <w:t xml:space="preserve">* These authors contributed equally as corresponding authors.</w:t>
      </w:r>
    </w:p>
    <w:p>
      <w:pPr>
        <w:pStyle w:val="BodyText"/>
        <w:widowControl/>
      </w:pPr>
      <w:r>
        <w:rPr>
          <w:b/>
          <w:bCs/>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
          <w:bCs/>
        </w:rPr>
        <w:t xml:space="preserve">Co-corresponding author:</w:t>
      </w:r>
      <w:r>
        <w:t xml:space="preserve"> </w:t>
      </w:r>
      <w:r>
        <w:t xml:space="preserve">Kyung-Hwa Shin, MD, Department of Laboratory Medicine, Pusan National University Hospital, Busan, Republic of Korea.</w:t>
      </w:r>
    </w:p>
    <w:bookmarkStart w:id="9" w:name="abstract"/>
    <w:p>
      <w:pPr>
        <w:pStyle w:val="Heading2"/>
        <w:pageBreakBefore/>
        <w:widowControl/>
      </w:pPr>
      <w:r>
        <w:t xml:space="preserve">Abstract</w:t>
      </w:r>
    </w:p>
    <w:p>
      <w:pPr>
        <w:pStyle w:val="FirstParagraph"/>
        <w:widowControl/>
      </w:pPr>
      <w:r>
        <w:rPr>
          <w:b/>
          <w:bCs/>
        </w:rPr>
        <w:t xml:space="preserve">Objective:</w:t>
      </w:r>
      <w:r>
        <w:t xml:space="preserve"> </w:t>
      </w:r>
      <w:r>
        <w:t xml:space="preserve">To compare genetic evidence linking blood expression of</w:t>
      </w:r>
      <w:r>
        <w:t xml:space="preserve"> </w:t>
      </w:r>
      <w:r>
        <w:rPr>
          <w:i/>
          <w:iCs/>
        </w:rPr>
        <w:t xml:space="preserve">TSHR</w:t>
      </w:r>
      <w:r>
        <w:t xml:space="preserve"> </w:t>
      </w:r>
      <w:r>
        <w:t xml:space="preserve">and</w:t>
      </w:r>
      <w:r>
        <w:t xml:space="preserve"> </w:t>
      </w:r>
      <w:r>
        <w:rPr>
          <w:i/>
          <w:iCs/>
        </w:rPr>
        <w:t xml:space="preserve">IGF1R</w:t>
      </w:r>
      <w:r>
        <w:t xml:space="preserve"> </w:t>
      </w:r>
      <w:r>
        <w:t xml:space="preserve">to Graves disease (GD) and thyroid eye disease (TED).</w:t>
      </w:r>
      <w:r>
        <w:t xml:space="preserve"> </w:t>
      </w:r>
      <w:r>
        <w:rPr>
          <w:b/>
          <w:bCs/>
        </w:rPr>
        <w:t xml:space="preserve">Methods:</w:t>
      </w:r>
      <w:r>
        <w:t xml:space="preserve"> </w:t>
      </w:r>
      <w:r>
        <w:t xml:space="preserve">We used genetic variants associated with blood gene expression to study 2,544 druggable genes by Mendelian randomization. Biobank Japan (BBJ) GD was the discovery outcome; UK Biobank (UKB) hyperthyroidism and FinnGen Graves ophthalmopathy provided additional comparisons. We reported odds ratios (ORs), 95% confidence intervals (CIs) and</w:t>
      </w:r>
      <w:r>
        <w:t xml:space="preserve"> </w:t>
      </w:r>
      <w:r>
        <w:rPr>
          <w:i/>
          <w:iCs/>
        </w:rPr>
        <w:t xml:space="preserve">P</w:t>
      </w:r>
      <w:r>
        <w:t xml:space="preserve"> </w:t>
      </w:r>
      <w:r>
        <w:t xml:space="preserve">values, and tested whether expression and disease associations shared a genetic variant.</w:t>
      </w:r>
      <w:r>
        <w:t xml:space="preserve"> </w:t>
      </w:r>
      <w:r>
        <w:rPr>
          <w:b/>
          <w:bCs/>
        </w:rPr>
        <w:t xml:space="preserve">Results:</w:t>
      </w:r>
      <w:r>
        <w:t xml:space="preserve"> </w:t>
      </w:r>
      <w:r>
        <w:t xml:space="preserve">Thirteen genes met the multiple-testing threshold. Per approximately one standard deviation (SD) higher genetically proxied blood</w:t>
      </w:r>
      <w:r>
        <w:t xml:space="preserve"> </w:t>
      </w:r>
      <w:r>
        <w:rPr>
          <w:i/>
          <w:iCs/>
        </w:rPr>
        <w:t xml:space="preserve">TSHR</w:t>
      </w:r>
      <w:r>
        <w:t xml:space="preserve"> </w:t>
      </w:r>
      <w:r>
        <w:t xml:space="preserve">expression, the OR for BBJ GD was 0.12 (95% CI 0.07–0.21;</w:t>
      </w:r>
      <w:r>
        <w:t xml:space="preserve"> </w:t>
      </w:r>
      <w:r>
        <w:rPr>
          <w:i/>
          <w:iCs/>
        </w:rPr>
        <w:t xml:space="preserve">P</w:t>
      </w:r>
      <w:r>
        <w:t xml:space="preserve"> </w:t>
      </w:r>
      <w:r>
        <w:t xml:space="preserve">= 1.09×10⁻¹⁴), with the same direction in UKB and FinnGen. Shared-variant support was strong in BBJ and FinnGen, but not UKB; the BBJ result was sensitive to a more conservative prior.</w:t>
      </w:r>
      <w:r>
        <w:t xml:space="preserve"> </w:t>
      </w:r>
      <w:r>
        <w:rPr>
          <w:i/>
          <w:iCs/>
        </w:rPr>
        <w:t xml:space="preserve">IGF1R</w:t>
      </w:r>
      <w:r>
        <w:t xml:space="preserve"> </w:t>
      </w:r>
      <w:r>
        <w:t xml:space="preserve">associations were nominal in BBJ (OR 1.56, 95% CI 1.07–2.28;</w:t>
      </w:r>
      <w:r>
        <w:t xml:space="preserve"> </w:t>
      </w:r>
      <w:r>
        <w:rPr>
          <w:i/>
          <w:iCs/>
        </w:rPr>
        <w:t xml:space="preserve">P</w:t>
      </w:r>
      <w:r>
        <w:t xml:space="preserve"> </w:t>
      </w:r>
      <w:r>
        <w:t xml:space="preserve">= 0.0212) and UKB (</w:t>
      </w:r>
      <w:r>
        <w:rPr>
          <w:i/>
          <w:iCs/>
        </w:rPr>
        <w:t xml:space="preserve">P</w:t>
      </w:r>
      <w:r>
        <w:t xml:space="preserve"> </w:t>
      </w:r>
      <w:r>
        <w:t xml:space="preserve">= 0.0117), and inconclusive in FinnGen (</w:t>
      </w:r>
      <w:r>
        <w:rPr>
          <w:i/>
          <w:iCs/>
        </w:rPr>
        <w:t xml:space="preserve">P</w:t>
      </w:r>
      <w:r>
        <w:t xml:space="preserve"> </w:t>
      </w:r>
      <w:r>
        <w:t xml:space="preserve">= 0.182); shared-variant support remained below threshold. No additional candidate met the combined BBJ and FinnGen shared-variant criterion. Cohort-frequency sensitivity analyses preserved these findings.</w:t>
      </w:r>
      <w:r>
        <w:t xml:space="preserve"> </w:t>
      </w:r>
      <w:r>
        <w:rPr>
          <w:b/>
          <w:bCs/>
        </w:rPr>
        <w:t xml:space="preserve">Conclusions:</w:t>
      </w:r>
      <w:r>
        <w:t xml:space="preserve"> </w:t>
      </w:r>
      <w:r>
        <w:t xml:space="preserve">Genetic evidence was stronger for</w:t>
      </w:r>
      <w:r>
        <w:t xml:space="preserve"> </w:t>
      </w:r>
      <w:r>
        <w:rPr>
          <w:i/>
          <w:iCs/>
        </w:rPr>
        <w:t xml:space="preserve">TSHR</w:t>
      </w:r>
      <w:r>
        <w:t xml:space="preserve"> </w:t>
      </w:r>
      <w:r>
        <w:t xml:space="preserve">than</w:t>
      </w:r>
      <w:r>
        <w:t xml:space="preserve"> </w:t>
      </w:r>
      <w:r>
        <w:rPr>
          <w:i/>
          <w:iCs/>
        </w:rPr>
        <w:t xml:space="preserve">IGF1R</w:t>
      </w:r>
      <w:r>
        <w:t xml:space="preserve"> </w:t>
      </w:r>
      <w:r>
        <w:t xml:space="preserve">in this analysis. An effector role for IGF-1R remains compatible with these findings, alongside an unresolved inherited contribution. FinnGen comparisons with population controls cannot establish an effect specific to TED within GD.</w:t>
      </w:r>
    </w:p>
    <w:p>
      <w:pPr>
        <w:pStyle w:val="BodyText"/>
        <w:widowControl/>
      </w:pPr>
      <w:r>
        <w:rPr>
          <w:b/>
          <w:bCs/>
        </w:rPr>
        <w:t xml:space="preserve">Keywords:</w:t>
      </w:r>
      <w:r>
        <w:t xml:space="preserve"> </w:t>
      </w:r>
      <w:r>
        <w:t xml:space="preserve">Graves disease; Thyroid eye disease;</w:t>
      </w:r>
      <w:r>
        <w:t xml:space="preserve"> </w:t>
      </w:r>
      <w:r>
        <w:rPr>
          <w:i/>
          <w:iCs/>
        </w:rPr>
        <w:t xml:space="preserve">TSHR</w:t>
      </w:r>
      <w:r>
        <w:t xml:space="preserve">;</w:t>
      </w:r>
      <w:r>
        <w:t xml:space="preserve"> </w:t>
      </w:r>
      <w:r>
        <w:rPr>
          <w:i/>
          <w:iCs/>
        </w:rPr>
        <w:t xml:space="preserve">IGF1R</w:t>
      </w:r>
      <w:r>
        <w:t xml:space="preserve">; Mendelian randomization; Colocalization</w:t>
      </w:r>
    </w:p>
    <w:bookmarkEnd w:id="9"/>
    <w:bookmarkStart w:id="10" w:name="introduction"/>
    <w:p>
      <w:pPr>
        <w:pStyle w:val="Heading2"/>
        <w:pageBreakBefore/>
        <w:widowControl/>
      </w:pPr>
      <w:r>
        <w:t xml:space="preserve">Introduction</w:t>
      </w:r>
    </w:p>
    <w:p>
      <w:pPr>
        <w:pStyle w:val="FirstParagraph"/>
        <w:widowControl/>
      </w:pPr>
      <w:r>
        <w:t xml:space="preserve">Thyroid eye disease (TED) can cause proptosis, diplopia and visual impairment in patients with Graves disease (GD) [1, 2]. Teprotumumab, which blocks the insulin-like growth factor 1 receptor (IGF-1R), improves clinical outcomes in active TED [3]. Its therapeutic efficacy raises a related question: does inherited variation influencing</w:t>
      </w:r>
      <w:r>
        <w:t xml:space="preserve"> </w:t>
      </w:r>
      <w:r>
        <w:rPr>
          <w:i/>
          <w:iCs/>
        </w:rPr>
        <w:t xml:space="preserve">IGF1R</w:t>
      </w:r>
      <w:r>
        <w:t xml:space="preserve"> </w:t>
      </w:r>
      <w:r>
        <w:t xml:space="preserve">expression contribute to disease susceptibility in the same way as variation at</w:t>
      </w:r>
      <w:r>
        <w:t xml:space="preserve"> </w:t>
      </w:r>
      <w:r>
        <w:rPr>
          <w:i/>
          <w:iCs/>
        </w:rPr>
        <w:t xml:space="preserve">TSHR</w:t>
      </w:r>
      <w:r>
        <w:t xml:space="preserve">, the established GD autoantigen and susceptibility locus?</w:t>
      </w:r>
    </w:p>
    <w:p>
      <w:pPr>
        <w:pStyle w:val="BodyText"/>
        <w:widowControl/>
      </w:pPr>
      <w:r>
        <w:t xml:space="preserve">TSHR and IGF-1R interact in experimental models of orbital disease [4, 5, 6]. However, a receptor can be an effective treatment target without the genetic evidence for its role in disease susceptibility being equally strong. Treatment response, inherited gene regulation and gene expression in inflamed tissue address different biological questions. Distinguishing them can help clinicians interpret claims arising from genetic studies of therapeutic targets.</w:t>
      </w:r>
    </w:p>
    <w:p>
      <w:pPr>
        <w:pStyle w:val="BodyText"/>
        <w:widowControl/>
      </w:pPr>
      <w:r>
        <w:t xml:space="preserve">Mendelian randomization (MR) uses genetic variants associated with an exposure to study its relationship with disease [7]. Here, the exposure was blood gene expression. We also used colocalization, an analysis that asks whether the expression and disease associations are consistent with the same underlying genetic variant [8]. This additional check matters because neighbouring variants can be inherited together: an expression–disease association may otherwise reflect two linked signals rather than a shared signal. Prior MR and multi-omics studies have investigated molecular contributors to GD [9, 10], but the comparison between</w:t>
      </w:r>
      <w:r>
        <w:t xml:space="preserve"> </w:t>
      </w:r>
      <w:r>
        <w:rPr>
          <w:i/>
          <w:iCs/>
        </w:rPr>
        <w:t xml:space="preserve">TSHR</w:t>
      </w:r>
      <w:r>
        <w:t xml:space="preserve"> </w:t>
      </w:r>
      <w:r>
        <w:t xml:space="preserve">and</w:t>
      </w:r>
      <w:r>
        <w:t xml:space="preserve"> </w:t>
      </w:r>
      <w:r>
        <w:rPr>
          <w:i/>
          <w:iCs/>
        </w:rPr>
        <w:t xml:space="preserve">IGF1R</w:t>
      </w:r>
      <w:r>
        <w:t xml:space="preserve"> </w:t>
      </w:r>
      <w:r>
        <w:t xml:space="preserve">remains clinically relevant.</w:t>
      </w:r>
    </w:p>
    <w:p>
      <w:pPr>
        <w:pStyle w:val="BodyText"/>
        <w:widowControl/>
      </w:pPr>
      <w:r>
        <w:t xml:space="preserve">We screened genes considered potentially druggable and compared</w:t>
      </w:r>
      <w:r>
        <w:t xml:space="preserve"> </w:t>
      </w:r>
      <w:r>
        <w:rPr>
          <w:i/>
          <w:iCs/>
        </w:rPr>
        <w:t xml:space="preserve">TSHR</w:t>
      </w:r>
      <w:r>
        <w:t xml:space="preserve">,</w:t>
      </w:r>
      <w:r>
        <w:t xml:space="preserve"> </w:t>
      </w:r>
      <w:r>
        <w:rPr>
          <w:i/>
          <w:iCs/>
        </w:rPr>
        <w:t xml:space="preserve">IGF1R</w:t>
      </w:r>
      <w:r>
        <w:t xml:space="preserve"> </w:t>
      </w:r>
      <w:r>
        <w:t xml:space="preserve">and the known autoimmune gene</w:t>
      </w:r>
      <w:r>
        <w:t xml:space="preserve"> </w:t>
      </w:r>
      <w:r>
        <w:rPr>
          <w:i/>
          <w:iCs/>
        </w:rPr>
        <w:t xml:space="preserve">CTLA4</w:t>
      </w:r>
      <w:r>
        <w:t xml:space="preserve">. Our primary question was whether genetically proxied expression was associated with GD and supported by a shared expression–disease variant. We then assessed broader hyperthyroidism and a Graves ophthalmopathy outcome. The study was designed to inform interpretation of genetic target evidence; it did not test a treatment or directly compare GD patients with and without TED.</w:t>
      </w:r>
    </w:p>
    <w:bookmarkEnd w:id="10"/>
    <w:bookmarkStart w:id="14" w:name="methods"/>
    <w:p>
      <w:pPr>
        <w:pStyle w:val="Heading2"/>
        <w:widowControl/>
      </w:pPr>
      <w:r>
        <w:t xml:space="preserve">Methods</w:t>
      </w:r>
    </w:p>
    <w:bookmarkStart w:id="11" w:name="study-design-and-data-sources"/>
    <w:p>
      <w:pPr>
        <w:pStyle w:val="Heading3"/>
        <w:widowControl/>
      </w:pPr>
      <w:r>
        <w:t xml:space="preserve">Study design and data sources</w:t>
      </w:r>
    </w:p>
    <w:p>
      <w:pPr>
        <w:pStyle w:val="FirstParagraph"/>
        <w:widowControl/>
      </w:pPr>
      <w:r>
        <w:t xml:space="preserve">We conducted a two-sample MR study using public genetic association summary statistics and followed STROBE-MR reporting guidance [11]. Blood gene-expression data came from the eQTLGen Consortium, comprising up to 31,684 participants, predominantly of European ancestry [12]. Disease outcomes were Biobank Japan (BBJ) GD, with 2,809 cases [13]; UK Biobank (UKB) hyperthyroidism, with 3,731 cases [14]; and FinnGen R12 Graves ophthalmopathy, with 858 cases [15] (Table 1).</w:t>
      </w:r>
    </w:p>
    <w:p>
      <w:pPr>
        <w:pStyle w:val="BodyText"/>
        <w:widowControl/>
      </w:pPr>
      <w:r>
        <w:t xml:space="preserve">The defined outcome hierarchy used BBJ for discovery, UKB for comparison across ancestry and a broader phenotype, and FinnGen as a TED-enriched sensitivity outcome. FinnGen cases were compared with population controls. Consequently, that analysis includes susceptibility to GD and cannot isolate susceptibility to eye disease among people who already have GD. We selected</w:t>
      </w:r>
      <w:r>
        <w:t xml:space="preserve"> </w:t>
      </w:r>
      <w:r>
        <w:rPr>
          <w:i/>
          <w:iCs/>
        </w:rPr>
        <w:t xml:space="preserve">TSHR</w:t>
      </w:r>
      <w:r>
        <w:t xml:space="preserve">,</w:t>
      </w:r>
      <w:r>
        <w:t xml:space="preserve"> </w:t>
      </w:r>
      <w:r>
        <w:rPr>
          <w:i/>
          <w:iCs/>
        </w:rPr>
        <w:t xml:space="preserve">IGF1R</w:t>
      </w:r>
      <w:r>
        <w:t xml:space="preserve"> </w:t>
      </w:r>
      <w:r>
        <w:t xml:space="preserve">and</w:t>
      </w:r>
      <w:r>
        <w:t xml:space="preserve"> </w:t>
      </w:r>
      <w:r>
        <w:rPr>
          <w:i/>
          <w:iCs/>
        </w:rPr>
        <w:t xml:space="preserve">CTLA4</w:t>
      </w:r>
      <w:r>
        <w:t xml:space="preserve"> </w:t>
      </w:r>
      <w:r>
        <w:t xml:space="preserve">on biological and therapeutic grounds and evaluated them across all outcomes, regardless of discovery significance.</w:t>
      </w:r>
    </w:p>
    <w:bookmarkEnd w:id="11"/>
    <w:bookmarkStart w:id="12" w:name="Xde7a4c9df51558d6765a0c038cc491bef2cf2e0"/>
    <w:p>
      <w:pPr>
        <w:pStyle w:val="Heading3"/>
        <w:widowControl/>
      </w:pPr>
      <w:r>
        <w:t xml:space="preserve">Genetic instruments and statistical analysis</w:t>
      </w:r>
    </w:p>
    <w:p>
      <w:pPr>
        <w:pStyle w:val="FirstParagraph"/>
        <w:widowControl/>
      </w:pPr>
      <w:r>
        <w:t xml:space="preserve">We considered 4,462 druggable genes [16]. Eligible instruments were genetic variants within 1 Mb of a gene that were associated with its blood expression at</w:t>
      </w:r>
      <w:r>
        <w:t xml:space="preserve"> </w:t>
      </w:r>
      <w:r>
        <w:rPr>
          <w:i/>
          <w:iCs/>
        </w:rPr>
        <w:t xml:space="preserve">P</w:t>
      </w:r>
      <w:r>
        <w:t xml:space="preserve"> </w:t>
      </w:r>
      <w:r>
        <w:t xml:space="preserve">&lt; 5×10⁻⁸. We selected approximately independent variants by linkage-disequilibrium clumping in PLINK [17] against the 1000 Genomes Phase 3 European reference panel [18], which matched the ancestry of the exposure data. This left 6,135 instruments for 2,544 genes. The minimum instrument-strength F statistic was 29.7. Alleles were aligned between expression and disease datasets; ambiguous or unavailable variants were excluded. UKB estimates were converted from their reported linear-model scale to log-odds before analysis. Exposure effect sizes were reconstructed from the eQTLGen Z statistics, per-variant sample sizes and reference-panel allele frequencies [19]; the formulas, selection parameters and exclusions are provided in Supplementary Methods.</w:t>
      </w:r>
    </w:p>
    <w:p>
      <w:pPr>
        <w:pStyle w:val="BodyText"/>
        <w:widowControl/>
      </w:pPr>
      <w:r>
        <w:t xml:space="preserve">We used the Wald ratio for genes with one instrument and inverse-variance weighting for genes with multiple instruments [20]. Results are reported as odds ratios (ORs), 95% confidence intervals (CIs) and two-sided</w:t>
      </w:r>
      <w:r>
        <w:t xml:space="preserve"> </w:t>
      </w:r>
      <w:r>
        <w:rPr>
          <w:i/>
          <w:iCs/>
        </w:rPr>
        <w:t xml:space="preserve">P</w:t>
      </w:r>
      <w:r>
        <w:t xml:space="preserve"> </w:t>
      </w:r>
      <w:r>
        <w:t xml:space="preserve">values. ORs represent genetically proxied effects per approximately one standard deviation higher blood gene expression on the standardized scale assumed by the reconstruction. This scale assumes an expression variance of one; it does not standardize the genetic predictor itself. The estimates are not per drug dose and should not be interpreted as expected treatment effects. Discovery significance required</w:t>
      </w:r>
      <w:r>
        <w:t xml:space="preserve"> </w:t>
      </w:r>
      <w:r>
        <w:rPr>
          <w:i/>
          <w:iCs/>
        </w:rPr>
        <w:t xml:space="preserve">P</w:t>
      </w:r>
      <w:r>
        <w:t xml:space="preserve"> </w:t>
      </w:r>
      <w:r>
        <w:t xml:space="preserve">&lt; 1.965×10⁻⁵, correcting for 2,544 eligible genes. This Bonferroni correction is conservative when gene-level tests are correlated. Associations at</w:t>
      </w:r>
      <w:r>
        <w:t xml:space="preserve"> </w:t>
      </w:r>
      <w:r>
        <w:rPr>
          <w:i/>
          <w:iCs/>
        </w:rPr>
        <w:t xml:space="preserve">P</w:t>
      </w:r>
      <w:r>
        <w:t xml:space="preserve"> </w:t>
      </w:r>
      <w:r>
        <w:t xml:space="preserve">&lt; 0.05 in the additional outcomes were considered nominal support only when their direction agreed with discovery. We report all estimates for the three selected genes, including non-significant results. Alternative MR estimators and tests for inconsistent instrument effects are presented in Table S1 [21, 22].</w:t>
      </w:r>
    </w:p>
    <w:p>
      <w:pPr>
        <w:pStyle w:val="BodyText"/>
        <w:widowControl/>
      </w:pPr>
      <w:r>
        <w:t xml:space="preserve">MR interpretation requires that instruments predict expression, are not associated with confounders, and do not affect disease through other pathways. Neither a small</w:t>
      </w:r>
      <w:r>
        <w:t xml:space="preserve"> </w:t>
      </w:r>
      <w:r>
        <w:rPr>
          <w:i/>
          <w:iCs/>
        </w:rPr>
        <w:t xml:space="preserve">P</w:t>
      </w:r>
      <w:r>
        <w:t xml:space="preserve"> </w:t>
      </w:r>
      <w:r>
        <w:t xml:space="preserve">value nor colocalization proves these assumptions. Single-instrument results, including</w:t>
      </w:r>
      <w:r>
        <w:t xml:space="preserve"> </w:t>
      </w:r>
      <w:r>
        <w:rPr>
          <w:i/>
          <w:iCs/>
        </w:rPr>
        <w:t xml:space="preserve">TSHR</w:t>
      </w:r>
      <w:r>
        <w:t xml:space="preserve">, cannot undergo instrument-based tests of pleiotropy. We did not perform a formal genetic directionality test [23]. The reporting checklist records other analyses that were unavailable or not undertaken.</w:t>
      </w:r>
    </w:p>
    <w:bookmarkEnd w:id="12"/>
    <w:bookmarkStart w:id="13" w:name="X9c48849c333067de336037a4d699e4422c93481"/>
    <w:p>
      <w:pPr>
        <w:pStyle w:val="Heading3"/>
        <w:widowControl/>
      </w:pPr>
      <w:r>
        <w:t xml:space="preserve">Shared genetic signals and sensitivity analyses</w:t>
      </w:r>
    </w:p>
    <w:p>
      <w:pPr>
        <w:pStyle w:val="FirstParagraph"/>
        <w:widowControl/>
      </w:pPr>
      <w:r>
        <w:t xml:space="preserve">For the three selected genes and six additional candidates, colocalization assessed whether gene expression and disease shared a genetic variant [8]. We considered a shared-variant posterior probability of at least 0.80 to provide strong support. This probability is a model-based measure of support, not a</w:t>
      </w:r>
      <w:r>
        <w:t xml:space="preserve"> </w:t>
      </w:r>
      <w:r>
        <w:rPr>
          <w:i/>
          <w:iCs/>
        </w:rPr>
        <w:t xml:space="preserve">P</w:t>
      </w:r>
      <w:r>
        <w:t xml:space="preserve"> </w:t>
      </w:r>
      <w:r>
        <w:t xml:space="preserve">value. We report it alongside the MR results and tested more conservative assumptions (Table S2) [24]. Colocalization used the regional expression and disease statistics without any significance filter, giving 1,479 to 7,740 variants per gene and outcome. Requiring support in both the discovery outcome and the TED-enriched outcome is a stringent cross-outcome filter: it selects candidates whose shared-variant evidence is not confined to one dataset, and it is not a test of Graves disease association on its own. The combined criterion was not prospectively registered, and the available analysis plan does not establish that this exact rule preceded inspection of results. The model assumes at most one causal variant per trait in the region; full model details and all probabilities are supplied in Supplementary Methods and Supplementary Data 3.</w:t>
      </w:r>
    </w:p>
    <w:p>
      <w:pPr>
        <w:pStyle w:val="BodyText"/>
        <w:widowControl/>
      </w:pPr>
      <w:r>
        <w:t xml:space="preserve">We checked instrument selection at</w:t>
      </w:r>
      <w:r>
        <w:t xml:space="preserve"> </w:t>
      </w:r>
      <w:r>
        <w:rPr>
          <w:i/>
          <w:iCs/>
        </w:rPr>
        <w:t xml:space="preserve">TSHR</w:t>
      </w:r>
      <w:r>
        <w:t xml:space="preserve"> </w:t>
      </w:r>
      <w:r>
        <w:t xml:space="preserve">and whether three neighbouring chromosome 16p11.2 hits represented independent findings. We also repeated the analyses using eQTLGen’s own allele frequencies. Frequency substitution was assessed first with the same variants, then after repeating allele alignment. MR, colocalization and detectable effect sizes were compared with the primary analysis (Tables S3–S4). Details of these checks, including their limitations, are in Supplementary Methods.</w:t>
      </w:r>
    </w:p>
    <w:p>
      <w:pPr>
        <w:pStyle w:val="BodyText"/>
        <w:widowControl/>
      </w:pPr>
      <w:r>
        <w:t xml:space="preserve">A small orbital RNA-seq dataset comprising four TED samples and one control was retained solely as descriptive context (Figure S1). It did not contribute to gene selection or genetic conclusions, and no differential-expression</w:t>
      </w:r>
      <w:r>
        <w:t xml:space="preserve"> </w:t>
      </w:r>
      <w:r>
        <w:rPr>
          <w:i/>
          <w:iCs/>
        </w:rPr>
        <w:t xml:space="preserve">P</w:t>
      </w:r>
      <w:r>
        <w:t xml:space="preserve"> </w:t>
      </w:r>
      <w:r>
        <w:t xml:space="preserve">values were calculated for this manuscript. Technical replicates were combined at the biological-sample level.</w:t>
      </w:r>
    </w:p>
    <w:p>
      <w:pPr>
        <w:pStyle w:val="BodyText"/>
        <w:widowControl/>
      </w:pPr>
      <w:r>
        <w:t xml:space="preserve">We additionally performed a post hoc leave-one-out analysis for the three selected genes, omitting each retained SNP in turn where at least two instruments were available (Table S5; Figure S2). This assessed sensitivity to individual instruments rather than providing independent replication.</w:t>
      </w:r>
    </w:p>
    <w:p>
      <w:pPr>
        <w:pStyle w:val="BodyText"/>
        <w:widowControl/>
      </w:pPr>
      <w:r>
        <w:t xml:space="preserve">Analyses used R 4.3.3, TwoSampleMR 0.7.4, coloc 5.2.3 and PLINK 1.9. Python reproduced the colocalization calculations for verification and frequency sensitivity. The instruments and complete numerical results are supplied in Supplementary Data 1–6. No prospective study registration was available.</w:t>
      </w:r>
    </w:p>
    <w:bookmarkEnd w:id="13"/>
    <w:bookmarkEnd w:id="14"/>
    <w:bookmarkStart w:id="20" w:name="results"/>
    <w:p>
      <w:pPr>
        <w:pStyle w:val="Heading2"/>
        <w:widowControl/>
      </w:pPr>
      <w:r>
        <w:t xml:space="preserve">Results</w:t>
      </w:r>
    </w:p>
    <w:bookmarkStart w:id="15" w:name="discovery-across-druggable-genes"/>
    <w:p>
      <w:pPr>
        <w:pStyle w:val="Heading3"/>
        <w:widowControl/>
      </w:pPr>
      <w:r>
        <w:t xml:space="preserve">Discovery across druggable genes</w:t>
      </w:r>
    </w:p>
    <w:p>
      <w:pPr>
        <w:pStyle w:val="FirstParagraph"/>
        <w:widowControl/>
      </w:pPr>
      <w:r>
        <w:t xml:space="preserve">Of 2,544 genes with selected instruments, 2,234 had estimable MR results in BBJ; the corresponding numbers were 2,505 in UKB and 2,480 in FinnGen. Thirteen genes met the BBJ multiple-testing threshold: seven were associated with lower odds and six with higher odds of disease (Table 3; Figure 1). The 310 genes without estimable BBJ results were not classified as negative findings. The genomic distribution shows both the MHC cluster and signals outside that region; each plotted point represents a gene-level MR result, not a single-SNP GWAS association. The discovery genes included</w:t>
      </w:r>
      <w:r>
        <w:t xml:space="preserve"> </w:t>
      </w:r>
      <w:r>
        <w:rPr>
          <w:i/>
          <w:iCs/>
        </w:rPr>
        <w:t xml:space="preserve">TSHR</w:t>
      </w:r>
      <w:r>
        <w:t xml:space="preserve">,</w:t>
      </w:r>
      <w:r>
        <w:t xml:space="preserve"> </w:t>
      </w:r>
      <w:r>
        <w:rPr>
          <w:i/>
          <w:iCs/>
        </w:rPr>
        <w:t xml:space="preserve">CTLA4</w:t>
      </w:r>
      <w:r>
        <w:t xml:space="preserve">, five genes in the major histocompatibility complex (MHC), and six additional candidates. The three biologically selected genes are compared in Table 2 and Figure 2, which aligns effect estimates with the corresponding shared-variant evidence.</w:t>
      </w:r>
    </w:p>
    <w:bookmarkEnd w:id="15"/>
    <w:bookmarkStart w:id="16" w:name="tshr"/>
    <w:p>
      <w:pPr>
        <w:pStyle w:val="Heading3"/>
        <w:widowControl/>
      </w:pPr>
      <w:r>
        <w:t xml:space="preserve">TSHR</w:t>
      </w:r>
    </w:p>
    <w:p>
      <w:pPr>
        <w:pStyle w:val="FirstParagraph"/>
        <w:widowControl/>
      </w:pPr>
      <w:r>
        <w:t xml:space="preserve">Higher genetically proxied blood</w:t>
      </w:r>
      <w:r>
        <w:t xml:space="preserve"> </w:t>
      </w:r>
      <w:r>
        <w:rPr>
          <w:i/>
          <w:iCs/>
        </w:rPr>
        <w:t xml:space="preserve">TSHR</w:t>
      </w:r>
      <w:r>
        <w:t xml:space="preserve"> </w:t>
      </w:r>
      <w:r>
        <w:t xml:space="preserve">expression was associated with lower odds of BBJ GD (OR 0.12, 95% CI 0.07–0.21;</w:t>
      </w:r>
      <w:r>
        <w:t xml:space="preserve"> </w:t>
      </w:r>
      <w:r>
        <w:rPr>
          <w:i/>
          <w:iCs/>
        </w:rPr>
        <w:t xml:space="preserve">P</w:t>
      </w:r>
      <w:r>
        <w:t xml:space="preserve"> </w:t>
      </w:r>
      <w:r>
        <w:t xml:space="preserve">= 1.09×10⁻¹⁴). Estimates had the same direction in UKB (OR 0.09, 95% CI 0.06–0.14;</w:t>
      </w:r>
      <w:r>
        <w:t xml:space="preserve"> </w:t>
      </w:r>
      <w:r>
        <w:rPr>
          <w:i/>
          <w:iCs/>
        </w:rPr>
        <w:t xml:space="preserve">P</w:t>
      </w:r>
      <w:r>
        <w:t xml:space="preserve"> </w:t>
      </w:r>
      <w:r>
        <w:t xml:space="preserve">= 8.77×10⁻²⁸) and FinnGen (OR 0.10, 95% CI 0.04–0.24;</w:t>
      </w:r>
      <w:r>
        <w:t xml:space="preserve"> </w:t>
      </w:r>
      <w:r>
        <w:rPr>
          <w:i/>
          <w:iCs/>
        </w:rPr>
        <w:t xml:space="preserve">P</w:t>
      </w:r>
      <w:r>
        <w:t xml:space="preserve"> </w:t>
      </w:r>
      <w:r>
        <w:t xml:space="preserve">= 2.82×10⁻⁷).</w:t>
      </w:r>
    </w:p>
    <w:p>
      <w:pPr>
        <w:pStyle w:val="BodyText"/>
        <w:widowControl/>
      </w:pPr>
      <w:r>
        <w:t xml:space="preserve">Expression and disease showed strong shared-variant support in BBJ and FinnGen, with probabilities of 0.951 and 0.986, respectively. The highest-probability variant conditional on the shared-variant model was rs179252 in both. UKB did not show the same support (0.226), despite a strong MR association. Under the single-causal-variant model, the UKB posterior favoured distinct variants (PP.H3 = 0.774); this does not establish the number of independent regional signals. Thus, a highly significant MR result alone did not establish a shared genetic signal in every outcome. The contrast is visible in Figure 2: the MR estimates all favoured lower odds, whereas the UKB posterior favoured distinct expression and disease variants. This discordance was not resolved by substituting cohort allele frequencies.</w:t>
      </w:r>
    </w:p>
    <w:bookmarkEnd w:id="16"/>
    <w:bookmarkStart w:id="17" w:name="igf1r"/>
    <w:p>
      <w:pPr>
        <w:pStyle w:val="Heading3"/>
        <w:widowControl/>
      </w:pPr>
      <w:r>
        <w:t xml:space="preserve">IGF1R</w:t>
      </w:r>
    </w:p>
    <w:p>
      <w:pPr>
        <w:pStyle w:val="FirstParagraph"/>
        <w:widowControl/>
      </w:pPr>
      <w:r>
        <w:t xml:space="preserve">Higher genetically proxied</w:t>
      </w:r>
      <w:r>
        <w:t xml:space="preserve"> </w:t>
      </w:r>
      <w:r>
        <w:rPr>
          <w:i/>
          <w:iCs/>
        </w:rPr>
        <w:t xml:space="preserve">IGF1R</w:t>
      </w:r>
      <w:r>
        <w:t xml:space="preserve"> </w:t>
      </w:r>
      <w:r>
        <w:t xml:space="preserve">expression was associated with higher odds of BBJ GD (OR 1.56, 95% CI 1.07–2.28;</w:t>
      </w:r>
      <w:r>
        <w:t xml:space="preserve"> </w:t>
      </w:r>
      <w:r>
        <w:rPr>
          <w:i/>
          <w:iCs/>
        </w:rPr>
        <w:t xml:space="preserve">P</w:t>
      </w:r>
      <w:r>
        <w:t xml:space="preserve"> </w:t>
      </w:r>
      <w:r>
        <w:t xml:space="preserve">= 0.0212) and UKB hyperthyroidism (OR 1.35, 95% CI 1.07–1.70;</w:t>
      </w:r>
      <w:r>
        <w:t xml:space="preserve"> </w:t>
      </w:r>
      <w:r>
        <w:rPr>
          <w:i/>
          <w:iCs/>
        </w:rPr>
        <w:t xml:space="preserve">P</w:t>
      </w:r>
      <w:r>
        <w:t xml:space="preserve"> </w:t>
      </w:r>
      <w:r>
        <w:t xml:space="preserve">= 0.0117). These were nominal associations and did not meet the study-wide discovery threshold. The FinnGen estimate was in the same direction but imprecise (OR 1.41, 95% CI 0.85–2.33;</w:t>
      </w:r>
      <w:r>
        <w:t xml:space="preserve"> </w:t>
      </w:r>
      <w:r>
        <w:rPr>
          <w:i/>
          <w:iCs/>
        </w:rPr>
        <w:t xml:space="preserve">P</w:t>
      </w:r>
      <w:r>
        <w:t xml:space="preserve"> </w:t>
      </w:r>
      <w:r>
        <w:t xml:space="preserve">= 0.182).</w:t>
      </w:r>
    </w:p>
    <w:p>
      <w:pPr>
        <w:pStyle w:val="BodyText"/>
        <w:widowControl/>
      </w:pPr>
      <w:r>
        <w:t xml:space="preserve">Shared-variant support was below 0.80 in all three outcomes (BBJ 0.073, UKB 0.404 and FinnGen 0.032). Expression-only model support (PP.H2) was 0.690 in BBJ and 0.623 in FinnGen. This model preference does not establish an absence of marginal disease association. The UKB posterior was divided between an expression-only signal (PP.H2 = 0.400) and a shared variant (PP.H4 = 0.404), with little support for distinct variants (PP.H3 = 0.196), and should be regarded as unresolved rather than negative. Alternative MR estimators agreed in direction but differed in statistical significance (Table S1). Weighted-median estimates were nominally significant in BBJ and UKB, whereas weighted-mode estimates were not; neither provided nominal support in FinnGen. These methods used the same limited instrument sets and therefore do not constitute independent replication. All 11</w:t>
      </w:r>
      <w:r>
        <w:t xml:space="preserve"> </w:t>
      </w:r>
      <w:r>
        <w:rPr>
          <w:i/>
          <w:iCs/>
        </w:rPr>
        <w:t xml:space="preserve">IGF1R</w:t>
      </w:r>
      <w:r>
        <w:t xml:space="preserve"> </w:t>
      </w:r>
      <w:r>
        <w:t xml:space="preserve">SNP-exclusion estimates retained the higher-odds direction, but omitting rs2654980 yielded OR 1.49 (95% CI 0.96–2.30;</w:t>
      </w:r>
      <w:r>
        <w:t xml:space="preserve"> </w:t>
      </w:r>
      <w:r>
        <w:rPr>
          <w:i/>
          <w:iCs/>
        </w:rPr>
        <w:t xml:space="preserve">P</w:t>
      </w:r>
      <w:r>
        <w:t xml:space="preserve"> </w:t>
      </w:r>
      <w:r>
        <w:t xml:space="preserve">= 0.0751) in BBJ and OR 1.16 (0.78–1.72;</w:t>
      </w:r>
      <w:r>
        <w:t xml:space="preserve"> </w:t>
      </w:r>
      <w:r>
        <w:rPr>
          <w:i/>
          <w:iCs/>
        </w:rPr>
        <w:t xml:space="preserve">P</w:t>
      </w:r>
      <w:r>
        <w:t xml:space="preserve"> </w:t>
      </w:r>
      <w:r>
        <w:t xml:space="preserve">= 0.468) in UKB. Each outcome also lost nominal significance under one other omission (Table S5; Figure S2). rs2654980 ranked first conditional on the shared-variant model, but the MR and colocalization analyses reuse the same underlying association data. Taken together, these results provide weaker genetic support for</w:t>
      </w:r>
      <w:r>
        <w:t xml:space="preserve"> </w:t>
      </w:r>
      <w:r>
        <w:rPr>
          <w:i/>
          <w:iCs/>
        </w:rPr>
        <w:t xml:space="preserve">IGF1R</w:t>
      </w:r>
      <w:r>
        <w:t xml:space="preserve"> </w:t>
      </w:r>
      <w:r>
        <w:t xml:space="preserve">than for</w:t>
      </w:r>
      <w:r>
        <w:t xml:space="preserve"> </w:t>
      </w:r>
      <w:r>
        <w:rPr>
          <w:i/>
          <w:iCs/>
        </w:rPr>
        <w:t xml:space="preserve">TSHR</w:t>
      </w:r>
      <w:r>
        <w:t xml:space="preserve"> </w:t>
      </w:r>
      <w:r>
        <w:t xml:space="preserve">in BBJ Graves disease and FinnGen Graves ophthalmopathy; they do not show that</w:t>
      </w:r>
      <w:r>
        <w:t xml:space="preserve"> </w:t>
      </w:r>
      <w:r>
        <w:rPr>
          <w:i/>
          <w:iCs/>
        </w:rPr>
        <w:t xml:space="preserve">IGF1R</w:t>
      </w:r>
      <w:r>
        <w:t xml:space="preserve"> </w:t>
      </w:r>
      <w:r>
        <w:t xml:space="preserve">has no inherited contribution.</w:t>
      </w:r>
    </w:p>
    <w:bookmarkEnd w:id="17"/>
    <w:bookmarkStart w:id="18" w:name="ctla4-and-additional-candidates"/>
    <w:p>
      <w:pPr>
        <w:pStyle w:val="Heading3"/>
        <w:widowControl/>
      </w:pPr>
      <w:r>
        <w:t xml:space="preserve">CTLA4 and additional candidates</w:t>
      </w:r>
    </w:p>
    <w:p>
      <w:pPr>
        <w:pStyle w:val="FirstParagraph"/>
        <w:widowControl/>
      </w:pPr>
      <w:r>
        <w:t xml:space="preserve">The known autoimmune locus</w:t>
      </w:r>
      <w:r>
        <w:t xml:space="preserve"> </w:t>
      </w:r>
      <w:r>
        <w:rPr>
          <w:i/>
          <w:iCs/>
        </w:rPr>
        <w:t xml:space="preserve">CTLA4</w:t>
      </w:r>
      <w:r>
        <w:t xml:space="preserve"> </w:t>
      </w:r>
      <w:r>
        <w:t xml:space="preserve">[25] was associated with lower odds of disease in BBJ (OR 0.18, 95% CI 0.11–0.27;</w:t>
      </w:r>
      <w:r>
        <w:t xml:space="preserve"> </w:t>
      </w:r>
      <w:r>
        <w:rPr>
          <w:i/>
          <w:iCs/>
        </w:rPr>
        <w:t xml:space="preserve">P</w:t>
      </w:r>
      <w:r>
        <w:t xml:space="preserve"> </w:t>
      </w:r>
      <w:r>
        <w:t xml:space="preserve">= 5.45×10⁻¹⁵), UKB (OR 0.21, 95% CI 0.08–0.57;</w:t>
      </w:r>
      <w:r>
        <w:t xml:space="preserve"> </w:t>
      </w:r>
      <w:r>
        <w:rPr>
          <w:i/>
          <w:iCs/>
        </w:rPr>
        <w:t xml:space="preserve">P</w:t>
      </w:r>
      <w:r>
        <w:t xml:space="preserve"> </w:t>
      </w:r>
      <w:r>
        <w:t xml:space="preserve">= 0.0022) and FinnGen (OR 0.17, 95% CI 0.04–0.68;</w:t>
      </w:r>
      <w:r>
        <w:t xml:space="preserve"> </w:t>
      </w:r>
      <w:r>
        <w:rPr>
          <w:i/>
          <w:iCs/>
        </w:rPr>
        <w:t xml:space="preserve">P</w:t>
      </w:r>
      <w:r>
        <w:t xml:space="preserve"> </w:t>
      </w:r>
      <w:r>
        <w:t xml:space="preserve">= 0.0118). Shared-variant support was strong in UKB and FinnGen (0.953 and 0.978), but not BBJ (0.201), where the posterior favoured distinct variants (PP.H3 = 0.799; Figure 2). The screen therefore recovered a known autoimmune association, while</w:t>
      </w:r>
      <w:r>
        <w:t xml:space="preserve"> </w:t>
      </w:r>
      <w:r>
        <w:rPr>
          <w:i/>
          <w:iCs/>
        </w:rPr>
        <w:t xml:space="preserve">CTLA4</w:t>
      </w:r>
      <w:r>
        <w:t xml:space="preserve"> </w:t>
      </w:r>
      <w:r>
        <w:t xml:space="preserve">itself failed the combined BBJ-plus-FinnGen colocalization criterion. In the two European outcomes, the MR association was largely supported by rs13030124: omitting it left imprecise estimates based on rs148849825 alone (UKB OR 1.02, 95% CI 0.37–2.82; FinnGen OR 1.72, 0.16–18.90). This agreed with the observed heterogeneity and limits interpretation of the two-SNP IVW estimates (Tables S1 and S5).</w:t>
      </w:r>
    </w:p>
    <w:p>
      <w:pPr>
        <w:pStyle w:val="BodyText"/>
        <w:widowControl/>
      </w:pPr>
      <w:r>
        <w:t xml:space="preserve">None of the six additional candidates met the shared-variant criterion in both BBJ and FinnGen.</w:t>
      </w:r>
      <w:r>
        <w:t xml:space="preserve"> </w:t>
      </w:r>
      <w:r>
        <w:rPr>
          <w:i/>
          <w:iCs/>
        </w:rPr>
        <w:t xml:space="preserve">TNFSF14</w:t>
      </w:r>
      <w:r>
        <w:t xml:space="preserve"> </w:t>
      </w:r>
      <w:r>
        <w:t xml:space="preserve">and</w:t>
      </w:r>
      <w:r>
        <w:t xml:space="preserve"> </w:t>
      </w:r>
      <w:r>
        <w:rPr>
          <w:i/>
          <w:iCs/>
        </w:rPr>
        <w:t xml:space="preserve">IFNGR1</w:t>
      </w:r>
      <w:r>
        <w:t xml:space="preserve"> </w:t>
      </w:r>
      <w:r>
        <w:t xml:space="preserve">had strong support in BBJ only (0.994 and 0.989); the corresponding FinnGen probabilities were 0.017 and 0.020 (Figure 3A).</w:t>
      </w:r>
      <w:r>
        <w:t xml:space="preserve"> </w:t>
      </w:r>
      <w:r>
        <w:rPr>
          <w:i/>
          <w:iCs/>
        </w:rPr>
        <w:t xml:space="preserve">TNFSF14</w:t>
      </w:r>
      <w:r>
        <w:t xml:space="preserve"> </w:t>
      </w:r>
      <w:r>
        <w:t xml:space="preserve">nevertheless retained a direction-consistent UKB MR association (</w:t>
      </w:r>
      <w:r>
        <w:rPr>
          <w:i/>
          <w:iCs/>
        </w:rPr>
        <w:t xml:space="preserve">P</w:t>
      </w:r>
      <w:r>
        <w:t xml:space="preserve"> </w:t>
      </w:r>
      <w:r>
        <w:t xml:space="preserve">= 0.0056); the absence of colocalization in that outcome was not an absence of association. The three neighbouring chromosome 16p11.2 hits were consistent with one regional signal rather than three independent findings. Their BBJ shared-variant probabilities were below 0.80, and none gained strong support in UKB or FinnGen.</w:t>
      </w:r>
      <w:r>
        <w:t xml:space="preserve"> </w:t>
      </w:r>
      <w:r>
        <w:rPr>
          <w:i/>
          <w:iCs/>
        </w:rPr>
        <w:t xml:space="preserve">MAPKAPK5</w:t>
      </w:r>
      <w:r>
        <w:t xml:space="preserve"> </w:t>
      </w:r>
      <w:r>
        <w:t xml:space="preserve">also failed the shared-variant criterion despite passing the MR discovery threshold. Thus, the absence of an additional qualifying candidate resulted from examining the combined evidence, rather than from an absence of significant MR associations. All 13 discovery estimates and their classification are shown in Table 3; full comparisons are in Supplementary Data 2–3.</w:t>
      </w:r>
    </w:p>
    <w:bookmarkEnd w:id="18"/>
    <w:bookmarkStart w:id="19" w:name="robustness-and-detectable-effects"/>
    <w:p>
      <w:pPr>
        <w:pStyle w:val="Heading3"/>
        <w:widowControl/>
      </w:pPr>
      <w:r>
        <w:t xml:space="preserve">Robustness and detectable effects</w:t>
      </w:r>
    </w:p>
    <w:p>
      <w:pPr>
        <w:pStyle w:val="FirstParagraph"/>
        <w:widowControl/>
      </w:pPr>
      <w:r>
        <w:t xml:space="preserve">Using eQTLGen cohort frequencies preserved all 13 discovery hits.</w:t>
      </w:r>
      <w:r>
        <w:t xml:space="preserve"> </w:t>
      </w:r>
      <w:r>
        <w:rPr>
          <w:i/>
          <w:iCs/>
        </w:rPr>
        <w:t xml:space="preserve">IGF1R</w:t>
      </w:r>
      <w:r>
        <w:t xml:space="preserve"> </w:t>
      </w:r>
      <w:r>
        <w:t xml:space="preserve">remained nominally associated in BBJ and UKB (</w:t>
      </w:r>
      <w:r>
        <w:rPr>
          <w:i/>
          <w:iCs/>
        </w:rPr>
        <w:t xml:space="preserve">P</w:t>
      </w:r>
      <w:r>
        <w:t xml:space="preserve"> </w:t>
      </w:r>
      <w:r>
        <w:t xml:space="preserve">= 0.022 and 0.016) and non-significant in FinnGen (</w:t>
      </w:r>
      <w:r>
        <w:rPr>
          <w:i/>
          <w:iCs/>
        </w:rPr>
        <w:t xml:space="preserve">P</w:t>
      </w:r>
      <w:r>
        <w:t xml:space="preserve"> </w:t>
      </w:r>
      <w:r>
        <w:t xml:space="preserve">= 0.177; Table S3). Frequency substitution moved none of the 81 colocalization comparisons (nine genes × three outcomes × three priors) across the 0.80 threshold, so every classification was unchanged; the largest absolute change in shared-variant probability was 0.002142. However, the original prior sensitivity remained relevant: under the most conservative prior,</w:t>
      </w:r>
      <w:r>
        <w:t xml:space="preserve"> </w:t>
      </w:r>
      <w:r>
        <w:rPr>
          <w:i/>
          <w:iCs/>
        </w:rPr>
        <w:t xml:space="preserve">TSHR</w:t>
      </w:r>
      <w:r>
        <w:t xml:space="preserve"> </w:t>
      </w:r>
      <w:r>
        <w:t xml:space="preserve">support in BBJ fell from 0.951 to 0.661, while FinnGen remained above threshold (Figure 3B; Table S2). This distinguished stability to the frequency substitution from sensitivity to the assumed prior: the former preserved classifications, while the latter changed the interpretation of the BBJ</w:t>
      </w:r>
      <w:r>
        <w:t xml:space="preserve"> </w:t>
      </w:r>
      <w:r>
        <w:rPr>
          <w:i/>
          <w:iCs/>
        </w:rPr>
        <w:t xml:space="preserve">TSHR</w:t>
      </w:r>
      <w:r>
        <w:t xml:space="preserve"> </w:t>
      </w:r>
      <w:r>
        <w:t xml:space="preserve">signal.</w:t>
      </w:r>
    </w:p>
    <w:p>
      <w:pPr>
        <w:pStyle w:val="BodyText"/>
        <w:widowControl/>
      </w:pPr>
      <w:r>
        <w:t xml:space="preserve">The screen had limited ability to detect smaller associations. At 80% power, only 14.6% of estimable BBJ genes could detect an OR of 1.5 at the discovery threshold; this decreased to 12.5% with cohort frequencies. The corresponding proportions for an OR of 2.0 were 35.6% and 34.2% (Table S4). Gene-specific detection benchmarks are provided in Supplementary Methods. They describe precision and cannot distinguish an absent effect from limited power; the ORs, 95% CIs and</w:t>
      </w:r>
      <w:r>
        <w:t xml:space="preserve"> </w:t>
      </w:r>
      <w:r>
        <w:rPr>
          <w:i/>
          <w:iCs/>
        </w:rPr>
        <w:t xml:space="preserve">P</w:t>
      </w:r>
      <w:r>
        <w:t xml:space="preserve"> </w:t>
      </w:r>
      <w:r>
        <w:t xml:space="preserve">values in Table 2 should guide interpretation of the observed associations. These calculations describe MR association detection, not the probability of passing the complete colocalization filter. Failure to identify an additional candidate does not exclude moderate or other undetected genetic effects.</w:t>
      </w:r>
    </w:p>
    <w:bookmarkEnd w:id="19"/>
    <w:bookmarkEnd w:id="20"/>
    <w:bookmarkStart w:id="23" w:name="discussion"/>
    <w:p>
      <w:pPr>
        <w:pStyle w:val="Heading2"/>
        <w:widowControl/>
      </w:pPr>
      <w:r>
        <w:t xml:space="preserve">Discussion</w:t>
      </w:r>
    </w:p>
    <w:p>
      <w:pPr>
        <w:pStyle w:val="FirstParagraph"/>
        <w:widowControl/>
      </w:pPr>
      <w:r>
        <w:t xml:space="preserve">This study found stronger genetic evidence linking blood</w:t>
      </w:r>
      <w:r>
        <w:t xml:space="preserve"> </w:t>
      </w:r>
      <w:r>
        <w:rPr>
          <w:i/>
          <w:iCs/>
        </w:rPr>
        <w:t xml:space="preserve">TSHR</w:t>
      </w:r>
      <w:r>
        <w:t xml:space="preserve"> </w:t>
      </w:r>
      <w:r>
        <w:t xml:space="preserve">expression to GD than linking</w:t>
      </w:r>
      <w:r>
        <w:t xml:space="preserve"> </w:t>
      </w:r>
      <w:r>
        <w:rPr>
          <w:i/>
          <w:iCs/>
        </w:rPr>
        <w:t xml:space="preserve">IGF1R</w:t>
      </w:r>
      <w:r>
        <w:t xml:space="preserve"> </w:t>
      </w:r>
      <w:r>
        <w:t xml:space="preserve">expression to the same outcomes.</w:t>
      </w:r>
      <w:r>
        <w:t xml:space="preserve"> </w:t>
      </w:r>
      <w:r>
        <w:rPr>
          <w:i/>
          <w:iCs/>
        </w:rPr>
        <w:t xml:space="preserve">TSHR</w:t>
      </w:r>
      <w:r>
        <w:t xml:space="preserve"> </w:t>
      </w:r>
      <w:r>
        <w:t xml:space="preserve">showed direction-consistent MR associations across all three datasets and shared expression–disease signals in BBJ GD and FinnGen Graves ophthalmopathy under the primary priors.</w:t>
      </w:r>
      <w:r>
        <w:t xml:space="preserve"> </w:t>
      </w:r>
      <w:r>
        <w:rPr>
          <w:i/>
          <w:iCs/>
        </w:rPr>
        <w:t xml:space="preserve">IGF1R</w:t>
      </w:r>
      <w:r>
        <w:t xml:space="preserve"> </w:t>
      </w:r>
      <w:r>
        <w:t xml:space="preserve">showed nominal associations in BBJ and UKB, but the shared-variant evidence was unresolved. No additional candidate passed the combined BBJ and FinnGen criterion. The comparison is therefore informative about the pattern and strength of genetic evidence, rather than a ranking of expected drug efficacy. Figures 1–3 make the screening results, the association–colocalization differences and the prior dependence visible together.</w:t>
      </w:r>
    </w:p>
    <w:p>
      <w:pPr>
        <w:pStyle w:val="BodyText"/>
        <w:widowControl/>
      </w:pPr>
      <w:r>
        <w:t xml:space="preserve">For clinicians, susceptibility and therapeutic response concern different stages of disease. Teprotumumab showed efficacy in the phase 2 and phase 3 randomized trials of active TED [3, 26]. OPTIC-X provided extension and re-treatment data [27], and a placebo-controlled trial in longstanding, low-activity TED also found improved proptosis [28]. These studies support treatment effects in established disease; none tests inherited blood-expression effects on disease onset. Experimental receptor crosstalk [5] and tissue-specific regulation [29] provide complementary biological context. A plausible model compatible with our findings is that IGF-1R contributes to orbital effector processes even when inherited blood-expression variation provides weaker susceptibility evidence. This is a hypothesis rather than proof of an exclusively downstream role: the nominal BBJ and UKB associations and imprecise FinnGen estimate leave an inherited contribution unresolved.</w:t>
      </w:r>
    </w:p>
    <w:p>
      <w:pPr>
        <w:pStyle w:val="BodyText"/>
        <w:widowControl/>
      </w:pPr>
      <w:r>
        <w:t xml:space="preserve">The protective direction of the</w:t>
      </w:r>
      <w:r>
        <w:t xml:space="preserve"> </w:t>
      </w:r>
      <w:r>
        <w:rPr>
          <w:i/>
          <w:iCs/>
        </w:rPr>
        <w:t xml:space="preserve">TSHR</w:t>
      </w:r>
      <w:r>
        <w:t xml:space="preserve"> </w:t>
      </w:r>
      <w:r>
        <w:t xml:space="preserve">estimate is compatible with a central-tolerance hypothesis. Human thymic studies associated the GD-protective rs179247 allele with greater intrathymic</w:t>
      </w:r>
      <w:r>
        <w:t xml:space="preserve"> </w:t>
      </w:r>
      <w:r>
        <w:rPr>
          <w:i/>
          <w:iCs/>
        </w:rPr>
        <w:t xml:space="preserve">TSHR</w:t>
      </w:r>
      <w:r>
        <w:t xml:space="preserve"> </w:t>
      </w:r>
      <w:r>
        <w:t xml:space="preserve">transcription, a pattern that could improve immune recognition of TSHR as self [30, 31]. We calculated strong LD between rs179252 and rs179247 in European and East Asian reference samples (r² = 0.957 and 0.992, respectively; Supplementary Methods). This connects the instrument to a biologically relevant region, but neither LD nor a blood eQTL demonstrates the same regulatory direction in thymus. If the relevant allele increases thymic antigen expression, the protective association would be biologically coherent; that tissue-specific step remains untested here. The variant-level disease ORs were approximately 0.80, 0.77 and 0.78, whereas the larger MR effects are scaled to approximately one SD of reconstructed expression (Table 2). Genetic target evidence [32] therefore requires tissue and exposure interpretation before translation into an intervention.</w:t>
      </w:r>
    </w:p>
    <w:p>
      <w:pPr>
        <w:pStyle w:val="BodyText"/>
        <w:widowControl/>
      </w:pPr>
      <w:r>
        <w:t xml:space="preserve">The UKB</w:t>
      </w:r>
      <w:r>
        <w:t xml:space="preserve"> </w:t>
      </w:r>
      <w:r>
        <w:rPr>
          <w:i/>
          <w:iCs/>
        </w:rPr>
        <w:t xml:space="preserve">TSHR</w:t>
      </w:r>
      <w:r>
        <w:t xml:space="preserve"> </w:t>
      </w:r>
      <w:r>
        <w:t xml:space="preserve">and BBJ</w:t>
      </w:r>
      <w:r>
        <w:t xml:space="preserve"> </w:t>
      </w:r>
      <w:r>
        <w:rPr>
          <w:i/>
          <w:iCs/>
        </w:rPr>
        <w:t xml:space="preserve">CTLA4</w:t>
      </w:r>
      <w:r>
        <w:t xml:space="preserve"> </w:t>
      </w:r>
      <w:r>
        <w:t xml:space="preserve">discordances illustrate the limits of the fitted regional model. Their H3-dominant posteriors favour distinct variants under the fitted single-causal-variant model; they do not demonstrate multiple independent signals. Multiple causal variants can nevertheless produce misleading single-variant colocalization summaries and are an important alternative explanation [33]. Both UKB and FinnGen are broadly European-ancestry outcomes, so ancestry mismatch alone cannot explain the UKB result. Phenotype definition, signal complexity, sample composition and variant coverage remain possible contributors. The reported top SNP is conditional on the shared-variant model and is not necessarily the lead disease-association SNP. These findings are therefore interpreted within the single-causal-variant model. Multi-signal colocalization was not performed, and the regional architecture remains unresolved.</w:t>
      </w:r>
    </w:p>
    <w:p>
      <w:pPr>
        <w:pStyle w:val="BodyText"/>
        <w:widowControl/>
      </w:pPr>
      <w:r>
        <w:t xml:space="preserve">The combined BBJ-plus-FinnGen filter favours evidence that is detectable in both outcomes and may miss valid susceptibility loci. Seven of nine evaluated FinnGen loci had H2-dominant posteriors, consistent with limited outcome evidence relative to expression evidence under this model. However, H2 is not a test proving that marginal disease association is absent.</w:t>
      </w:r>
      <w:r>
        <w:t xml:space="preserve"> </w:t>
      </w:r>
      <w:r>
        <w:rPr>
          <w:i/>
          <w:iCs/>
        </w:rPr>
        <w:t xml:space="preserve">CTLA4</w:t>
      </w:r>
      <w:r>
        <w:t xml:space="preserve"> </w:t>
      </w:r>
      <w:r>
        <w:t xml:space="preserve">illustrates a different failure mode: it passed in FinnGen (PP.H4 = 0.978) and failed in BBJ (0.201), where H3 was dominant. Failure of this known autoimmune locus cautions against interpreting filter failure as exclusion of susceptibility, although one comparator cannot quantify the filter’s sensitivity. The criterion is therefore a stringent prioritization rule rather than a validated diagnostic test. Significant associations such as</w:t>
      </w:r>
      <w:r>
        <w:t xml:space="preserve"> </w:t>
      </w:r>
      <w:r>
        <w:rPr>
          <w:i/>
          <w:iCs/>
        </w:rPr>
        <w:t xml:space="preserve">TNFSF14</w:t>
      </w:r>
      <w:r>
        <w:t xml:space="preserve"> </w:t>
      </w:r>
      <w:r>
        <w:t xml:space="preserve">and</w:t>
      </w:r>
      <w:r>
        <w:t xml:space="preserve"> </w:t>
      </w:r>
      <w:r>
        <w:rPr>
          <w:i/>
          <w:iCs/>
        </w:rPr>
        <w:t xml:space="preserve">IFNGR1</w:t>
      </w:r>
      <w:r>
        <w:t xml:space="preserve"> </w:t>
      </w:r>
      <w:r>
        <w:t xml:space="preserve">remain relevant to follow-up even when they fail that rule [9, 10].</w:t>
      </w:r>
    </w:p>
    <w:p>
      <w:pPr>
        <w:pStyle w:val="BodyText"/>
        <w:widowControl/>
      </w:pPr>
      <w:r>
        <w:t xml:space="preserve">The sensitivity analyses improve confidence in specific aspects of the results without removing all uncertainty. Substituting eQTLGen cohort frequencies preserved the discovery-hit set and every tested shared-variant classification. It therefore addresses concern about the reference-frequency approximation used to reconstruct exposure effects. SNP-exclusion analyses further showed that nominal</w:t>
      </w:r>
      <w:r>
        <w:t xml:space="preserve"> </w:t>
      </w:r>
      <w:r>
        <w:rPr>
          <w:i/>
          <w:iCs/>
        </w:rPr>
        <w:t xml:space="preserve">IGF1R</w:t>
      </w:r>
      <w:r>
        <w:t xml:space="preserve"> </w:t>
      </w:r>
      <w:r>
        <w:t xml:space="preserve">significance was sensitive to instrument omission and that European</w:t>
      </w:r>
      <w:r>
        <w:t xml:space="preserve"> </w:t>
      </w:r>
      <w:r>
        <w:rPr>
          <w:i/>
          <w:iCs/>
        </w:rPr>
        <w:t xml:space="preserve">CTLA4</w:t>
      </w:r>
      <w:r>
        <w:t xml:space="preserve"> </w:t>
      </w:r>
      <w:r>
        <w:t xml:space="preserve">support was concentrated in one SNP. These post hoc checks refine interpretation of the same data; changes in significance reflect both effect estimates and precision and do not establish bias in a particular SNP. Prior sensitivity answers a separate question:</w:t>
      </w:r>
      <w:r>
        <w:t xml:space="preserve"> </w:t>
      </w:r>
      <w:r>
        <w:rPr>
          <w:i/>
          <w:iCs/>
        </w:rPr>
        <w:t xml:space="preserve">TSHR</w:t>
      </w:r>
      <w:r>
        <w:t xml:space="preserve"> </w:t>
      </w:r>
      <w:r>
        <w:t xml:space="preserve">support in BBJ fell below the chosen threshold under the most conservative shared-association prior, while FinnGen support remained above it. The BBJ finding should consequently be described as supported under the primary model and sensitive to the prior, rather than uniformly robust. Similarly, the screen’s limited ability to detect moderate effects prevents the lack of additional qualifying candidates from excluding smaller inherited effects. Detection benchmarks quantify the design’s precision; they do not determine whether a particular unresolved result reflects no effect or inadequate power.</w:t>
      </w:r>
    </w:p>
    <w:p>
      <w:pPr>
        <w:pStyle w:val="BodyText"/>
        <w:widowControl/>
      </w:pPr>
      <w:r>
        <w:t xml:space="preserve">The clinical question remains why some patients with GD develop eye disease. Established clinical risk factors and disease context discussed in the TED literature [1, 2] cannot be quantified from these summary statistics, and our analysis does not apportion genetic versus non-genetic risk. A direct GD-with-TED versus GD-without-TED comparison is needed to isolate eye-disease susceptibility. Similar effects in two population-control GWAS would not by themselves resolve this issue because the phenotypes and participants can overlap. Larger molecular datasets from relevant cell types could test whether the blood-derived signals transfer to thymus or orbital tissue. The present orbital observations—four TED samples and one control—remain descriptive and cannot establish that transfer or distinguish causes from consequences of established disease.</w:t>
      </w:r>
    </w:p>
    <w:bookmarkStart w:id="21" w:name="limitations"/>
    <w:p>
      <w:pPr>
        <w:pStyle w:val="Heading3"/>
        <w:widowControl/>
      </w:pPr>
      <w:r>
        <w:t xml:space="preserve">Limitations</w:t>
      </w:r>
    </w:p>
    <w:p>
      <w:pPr>
        <w:pStyle w:val="FirstParagraph"/>
        <w:widowControl/>
      </w:pPr>
      <w:r>
        <w:t xml:space="preserve">The main limitations concern phenotype definition, exposure relevance and available information. FinnGen compared 858 Graves ophthalmopathy cases with population controls rather than GD patients without eye disease, so its associations may reflect GD susceptibility and cannot isolate a TED-specific effect. UKB hyperthyroidism was broader than GD, making phenotype and ancestry differences partly confounded. The Wald ratio divides the outcome effect by the exposure effect; applying European eQTL weights to BBJ therefore assumes that the relevant expression effects transfer across ancestries. Differences in regulation, linkage patterns and variant availability may violate this assumption, and European blood expression may not represent thymic or orbital regulation. Participant overlap between eQTLGen and the European outcomes could not be quantified. Cohort-frequency substitution addressed one part of exposure reconstruction, but the published frequencies excluded Framingham participants and did not resolve these broader issues. The tissue series had only one control, was not externally replicated and cannot support differential-expression or causal inference.</w:t>
      </w:r>
    </w:p>
    <w:p>
      <w:pPr>
        <w:pStyle w:val="BodyText"/>
        <w:widowControl/>
      </w:pPr>
      <w:r>
        <w:t xml:space="preserve">Additional limitations concern the genetic models and detection range.</w:t>
      </w:r>
      <w:r>
        <w:t xml:space="preserve"> </w:t>
      </w:r>
      <w:r>
        <w:rPr>
          <w:i/>
          <w:iCs/>
        </w:rPr>
        <w:t xml:space="preserve">TSHR</w:t>
      </w:r>
      <w:r>
        <w:t xml:space="preserve"> </w:t>
      </w:r>
      <w:r>
        <w:t xml:space="preserve">was represented by one instrument under the European selection reference, precluding instrument-based pleiotropy tests; the other selected genes also had few instruments. Colocalization cannot exclude an effect through a neighbouring gene, and the single-causal-variant assumption may not capture more complex regional signals. The East Asian reference selected two</w:t>
      </w:r>
      <w:r>
        <w:t xml:space="preserve"> </w:t>
      </w:r>
      <w:r>
        <w:rPr>
          <w:i/>
          <w:iCs/>
        </w:rPr>
        <w:t xml:space="preserve">TSHR</w:t>
      </w:r>
      <w:r>
        <w:t xml:space="preserve"> </w:t>
      </w:r>
      <w:r>
        <w:t xml:space="preserve">variants at the primary threshold, so single-instrument status is not evidence for a single biological signal in every ancestry. Conclusions also depend on prior assumptions, particularly for</w:t>
      </w:r>
      <w:r>
        <w:t xml:space="preserve"> </w:t>
      </w:r>
      <w:r>
        <w:rPr>
          <w:i/>
          <w:iCs/>
        </w:rPr>
        <w:t xml:space="preserve">TSHR</w:t>
      </w:r>
      <w:r>
        <w:t xml:space="preserve"> </w:t>
      </w:r>
      <w:r>
        <w:t xml:space="preserve">in BBJ. Multi-variant colocalization, genetic directionality, formal colocalization power and the probability of passing the combined filter were not evaluated. In particular, the UKB TSHR and BBJ CTLA4 discordances remain unresolved by a multi-signal model. Together with the screen’s limited MR detection range, these constraints leave smaller or otherwise undetected genetic effects unresolved.</w:t>
      </w:r>
    </w:p>
    <w:bookmarkEnd w:id="21"/>
    <w:bookmarkStart w:id="22" w:name="conclusions"/>
    <w:p>
      <w:pPr>
        <w:pStyle w:val="Heading3"/>
        <w:widowControl/>
      </w:pPr>
      <w:r>
        <w:t xml:space="preserve">Conclusions</w:t>
      </w:r>
    </w:p>
    <w:p>
      <w:pPr>
        <w:pStyle w:val="FirstParagraph"/>
        <w:widowControl/>
      </w:pPr>
      <w:r>
        <w:t xml:space="preserve">Within these limits,</w:t>
      </w:r>
      <w:r>
        <w:t xml:space="preserve"> </w:t>
      </w:r>
      <w:r>
        <w:rPr>
          <w:i/>
          <w:iCs/>
        </w:rPr>
        <w:t xml:space="preserve">TSHR</w:t>
      </w:r>
      <w:r>
        <w:t xml:space="preserve"> </w:t>
      </w:r>
      <w:r>
        <w:t xml:space="preserve">showed stronger expression–disease evidence than</w:t>
      </w:r>
      <w:r>
        <w:t xml:space="preserve"> </w:t>
      </w:r>
      <w:r>
        <w:rPr>
          <w:i/>
          <w:iCs/>
        </w:rPr>
        <w:t xml:space="preserve">IGF1R</w:t>
      </w:r>
      <w:r>
        <w:t xml:space="preserve"> </w:t>
      </w:r>
      <w:r>
        <w:t xml:space="preserve">in BBJ Graves disease and FinnGen Graves ophthalmopathy. The findings distinguish genetic susceptibility evidence from evidence of therapeutic efficacy, while preserving the uncertainty around</w:t>
      </w:r>
      <w:r>
        <w:t xml:space="preserve"> </w:t>
      </w:r>
      <w:r>
        <w:rPr>
          <w:i/>
          <w:iCs/>
        </w:rPr>
        <w:t xml:space="preserve">IGF1R</w:t>
      </w:r>
      <w:r>
        <w:t xml:space="preserve"> </w:t>
      </w:r>
      <w:r>
        <w:t xml:space="preserve">and the prior dependence of the BBJ</w:t>
      </w:r>
      <w:r>
        <w:t xml:space="preserve"> </w:t>
      </w:r>
      <w:r>
        <w:rPr>
          <w:i/>
          <w:iCs/>
        </w:rPr>
        <w:t xml:space="preserve">TSHR</w:t>
      </w:r>
      <w:r>
        <w:t xml:space="preserve"> </w:t>
      </w:r>
      <w:r>
        <w:t xml:space="preserve">result. They support further investigation in relevant tissues and a direct comparison of GD patients with and without TED; they do not establish treatment direction or expected clinical benefit.</w:t>
      </w:r>
    </w:p>
    <w:bookmarkEnd w:id="22"/>
    <w:bookmarkEnd w:id="23"/>
    <w:bookmarkStart w:id="24" w:name="declarations"/>
    <w:p>
      <w:pPr>
        <w:pStyle w:val="Heading2"/>
        <w:widowControl/>
      </w:pPr>
      <w:r>
        <w:t xml:space="preserve">Declarations</w:t>
      </w:r>
    </w:p>
    <w:p>
      <w:pPr>
        <w:pStyle w:val="FirstParagraph"/>
        <w:widowControl/>
      </w:pPr>
      <w:r>
        <w:rPr>
          <w:b/>
          <w:bCs/>
        </w:rPr>
        <w:t xml:space="preserve">Funding.</w:t>
      </w:r>
      <w:r>
        <w:t xml:space="preserve"> </w:t>
      </w:r>
      <w:r>
        <w:t xml:space="preserve">This research received no specific grant from any funding agency in the public, commercial, or not-for-profit sectors.</w:t>
      </w:r>
    </w:p>
    <w:p>
      <w:pPr>
        <w:pStyle w:val="BodyText"/>
        <w:widowControl/>
      </w:pPr>
      <w:r>
        <w:rPr>
          <w:b/>
          <w:bCs/>
        </w:rPr>
        <w:t xml:space="preserve">Conflict of interest.</w:t>
      </w:r>
      <w:r>
        <w:t xml:space="preserve"> </w:t>
      </w:r>
      <w:r>
        <w:t xml:space="preserve">The authors declare that they have no conflict of interest.</w:t>
      </w:r>
    </w:p>
    <w:p>
      <w:pPr>
        <w:pStyle w:val="BodyText"/>
        <w:widowControl/>
      </w:pPr>
      <w:r>
        <w:rPr>
          <w:b/>
          <w:bCs/>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widowControl/>
      </w:pPr>
      <w:r>
        <w:rPr>
          <w:b/>
          <w:bCs/>
        </w:rPr>
        <w:t xml:space="preserve">Informed consent.</w:t>
      </w:r>
      <w:r>
        <w:t xml:space="preserve"> </w:t>
      </w:r>
      <w:r>
        <w:t xml:space="preserve">Written informed consent was obtained from all individual participants included in the in-house orbital tissue study.</w:t>
      </w:r>
    </w:p>
    <w:p>
      <w:pPr>
        <w:pStyle w:val="BodyText"/>
        <w:widowControl/>
      </w:pPr>
      <w:r>
        <w:rPr>
          <w:b/>
          <w:bCs/>
        </w:rPr>
        <w:t xml:space="preserve">Data availability.</w:t>
      </w:r>
      <w:r>
        <w:t xml:space="preserve"> </w:t>
      </w:r>
      <w:r>
        <w:t xml:space="preserve">Instruments, primary MR and colocalization results, and sensitivity results are supplied as Supplementary Data 1–6. Analysis code is available from the corresponding author on reasonable request. Public summary statistics analyzed in this study are available from their original repositories: blood</w:t>
      </w:r>
      <w:r>
        <w:t xml:space="preserve"> </w:t>
      </w:r>
      <w:r>
        <w:rPr>
          <w:i/>
          <w:iCs/>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widowControl/>
      </w:pPr>
      <w:r>
        <w:rPr>
          <w:b/>
          <w:bCs/>
        </w:rPr>
        <w:t xml:space="preserve">Author contributions.</w:t>
      </w:r>
      <w:r>
        <w:t xml:space="preserve"> </w:t>
      </w:r>
      <w:r>
        <w:t xml:space="preserve">J.P. conceived and designed the study, performed the analyses, and drafted the manuscript. M.-S.K. contributed to data collection and interpretation. K.-H.S. and S.-W.Y. supervised the study and revised the manuscript.</w:t>
      </w:r>
    </w:p>
    <w:p>
      <w:pPr>
        <w:pStyle w:val="BodyText"/>
        <w:widowControl/>
      </w:pPr>
      <w:r>
        <w:rPr>
          <w:b/>
          <w:bCs/>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bookmarkEnd w:id="24"/>
    <w:bookmarkStart w:id="25" w:name="references"/>
    <w:p>
      <w:pPr>
        <w:pStyle w:val="Heading2"/>
        <w:pageBreakBefore/>
        <w:widowControl/>
      </w:pPr>
      <w:r>
        <w:t xml:space="preserve">References</w:t>
      </w:r>
    </w:p>
    <w:p>
      <w:pPr>
        <w:widowControl/>
        <w:numPr>
          <w:ilvl w:val="0"/>
          <w:numId w:val="1001"/>
        </w:numPr>
      </w:pPr>
      <w:r>
        <w:t xml:space="preserve">Bahn RS. Graves’ ophthalmopathy. N Engl J Med. 2010;362:726-738. doi:10.1056/nejmra0905750.</w:t>
      </w:r>
    </w:p>
    <w:p>
      <w:pPr>
        <w:widowControl/>
        <w:numPr>
          <w:ilvl w:val="0"/>
          <w:numId w:val="1001"/>
        </w:numPr>
      </w:pPr>
      <w:r>
        <w:t xml:space="preserve">Smith TJ, Hegedüs L. Graves’ Disease. N Engl J Med. 2016;375:1552-1565. doi:10.1056/nejmra1510030.</w:t>
      </w:r>
    </w:p>
    <w:p>
      <w:pPr>
        <w:widowControl/>
        <w:numPr>
          <w:ilvl w:val="0"/>
          <w:numId w:val="1001"/>
        </w:numPr>
      </w:pPr>
      <w:r>
        <w:t xml:space="preserve">Douglas RS, Kahaly GJ, Patel A, Sile S, Thompson EHZ, Perdok R, Fleming JC, Fowler BT, Marcocci C, Marinò M, et al. Teprotumumab for the Treatment of Active Thyroid Eye Disease. N Engl J Med. 2020;382:341-352. doi:10.1056/nejmoa1910434.</w:t>
      </w:r>
    </w:p>
    <w:p>
      <w:pPr>
        <w:widowControl/>
        <w:numPr>
          <w:ilvl w:val="0"/>
          <w:numId w:val="1001"/>
        </w:numPr>
      </w:pPr>
      <w:r>
        <w:t xml:space="preserve">Smith TJ. The insulin-like growth factor-I receptor and its role in thyroid-associated ophthalmopathy. Eye (Lond). 2019;33:200-205. doi:10.1038/s41433-018-0265-2.</w:t>
      </w:r>
    </w:p>
    <w:p>
      <w:pPr>
        <w:widowControl/>
        <w:numPr>
          <w:ilvl w:val="0"/>
          <w:numId w:val="1001"/>
        </w:numPr>
      </w:pPr>
      <w:r>
        <w:t xml:space="preserve">Krieger CC, Boutin A, Jang D, Morgan SJ, Banga JP, Kahaly GJ, Klubo-Gwiezdzinska J, Neumann S, Gershengorn MC. Arrestin-β-1 Physically Scaffolds TSH and IGF1 Receptors to Enable Crosstalk. Endocrinology. 2019;160:1468-1479. doi:10.1210/en.2019-00055.</w:t>
      </w:r>
    </w:p>
    <w:p>
      <w:pPr>
        <w:widowControl/>
        <w:numPr>
          <w:ilvl w:val="0"/>
          <w:numId w:val="1001"/>
        </w:numPr>
      </w:pPr>
      <w:r>
        <w:t xml:space="preserve">Smith TJ. Potential Roles of CD34+ Fibrocytes Masquerading as Orbital Fibroblasts in Thyroid-Associated Ophthalmopathy. J Clin Endocrinol Metab. 2019;104:581-594. doi:10.1210/jc.2018-01493.</w:t>
      </w:r>
    </w:p>
    <w:p>
      <w:pPr>
        <w:widowControl/>
        <w:numPr>
          <w:ilvl w:val="0"/>
          <w:numId w:val="1001"/>
        </w:numPr>
      </w:pPr>
      <w:r>
        <w:t xml:space="preserve">Sanderson E, Glymour MM, Holmes MV, Kang H, Morrison J, Munafò MR, Palmer T, Schooling CM, Wallace C, Zhao Q, et al. Mendelian randomization. Nat Rev Methods Primers. 2022;2:6. doi:10.1038/s43586-021-00092-5.</w:t>
      </w:r>
    </w:p>
    <w:p>
      <w:pPr>
        <w:widowControl/>
        <w:numPr>
          <w:ilvl w:val="0"/>
          <w:numId w:val="1001"/>
        </w:numPr>
      </w:pPr>
      <w:r>
        <w:t xml:space="preserve">Giambartolomei C, Vukcevic D, Schadt EE, Franke L, Hingorani AD, Wallace C, Plagnol V. Bayesian test for colocalisation between pairs of genetic association studies using summary statistics. PLoS Genet. 2014;10:e1004383. doi:10.1371/journal.pgen.1004383.</w:t>
      </w:r>
    </w:p>
    <w:p>
      <w:pPr>
        <w:widowControl/>
        <w:numPr>
          <w:ilvl w:val="0"/>
          <w:numId w:val="1001"/>
        </w:numPr>
      </w:pPr>
      <w:r>
        <w:t xml:space="preserve">Ji Q, Xu H, Chen H, Chen X, Wang S, Zou J. Pathogenic genes associated with immune-related genes in graves’ disease: a multi-omics Mendelian randomization analysis. Sci Rep. 2025;15:37875. doi:10.1038/s41598-025-21754-4.</w:t>
      </w:r>
    </w:p>
    <w:p>
      <w:pPr>
        <w:widowControl/>
        <w:numPr>
          <w:ilvl w:val="0"/>
          <w:numId w:val="1001"/>
        </w:numPr>
      </w:pPr>
      <w:r>
        <w:t xml:space="preserve">Li Y, Chen L, Lin S, An W, Miao L, Wan M, Zhang B. Inflammatory Proteins Mediate the Effect of Gut Microbiota on Graves’ Ophthalmopathy: A Mendelian Randomization Study. Transl Vis Sci Technol. 2025;14:34. doi:10.1167/tvst.14.6.34.</w:t>
      </w:r>
    </w:p>
    <w:p>
      <w:pPr>
        <w:widowControl/>
        <w:numPr>
          <w:ilvl w:val="0"/>
          <w:numId w:val="1001"/>
        </w:numPr>
      </w:pPr>
      <w:r>
        <w:t xml:space="preserve">Skrivankova VW, Richmond RC, Woolf BAR, Yarmolinsky J, Davies NM, Swanson SA, VanderWeele TJ, Higgins JPT, Timpson NJ, Dimou N, et al. Strengthening the Reporting of Observational Studies in Epidemiology Using Mendelian Randomization: The STROBE-MR Statement. JAMA. 2021;326:1614-1621. doi:10.1001/jama.2021.18236.</w:t>
      </w:r>
    </w:p>
    <w:p>
      <w:pPr>
        <w:widowControl/>
        <w:numPr>
          <w:ilvl w:val="0"/>
          <w:numId w:val="1001"/>
        </w:numPr>
      </w:pPr>
      <w:r>
        <w:t xml:space="preserve">Võsa U, Claringbould A, Westra HJ, Bonder MJ, Deelen P, Zeng B, Kirsten H, Saha A, Kreuzhuber R, Yazar S, et al. Large-scale cis- and trans-eQTL analyses identify thousands of genetic loci and polygenic scores that regulate blood gene expression. Nat Genet. 2021;53:1300-1310. doi:10.1038/s41588-021-00913-z.</w:t>
      </w:r>
    </w:p>
    <w:p>
      <w:pPr>
        <w:widowControl/>
        <w:numPr>
          <w:ilvl w:val="0"/>
          <w:numId w:val="1001"/>
        </w:numPr>
      </w:pPr>
      <w:r>
        <w:t xml:space="preserve">Sakaue S, Kanai M, Tanigawa Y, Karjalainen J, Kurki M, Koshiba S, Narita A, Konuma T, Yamamoto K, Akiyama M, et al. A cross-population atlas of genetic associations for 220 human phenotypes. Nat Genet. 2021;53:1415-1424. doi:10.1038/s41588-021-00931-x.</w:t>
      </w:r>
    </w:p>
    <w:p>
      <w:pPr>
        <w:widowControl/>
        <w:numPr>
          <w:ilvl w:val="0"/>
          <w:numId w:val="1001"/>
        </w:numPr>
      </w:pPr>
      <w:r>
        <w:t xml:space="preserve">Dönertaş HM, Fabian DK, Valenzuela MF, Partridge L, Thornton JM. Common genetic associations between age-related diseases. Nat Aging. 2021;1:400-412. doi:10.1038/s43587-021-00051-5.</w:t>
      </w:r>
    </w:p>
    <w:p>
      <w:pPr>
        <w:widowControl/>
        <w:numPr>
          <w:ilvl w:val="0"/>
          <w:numId w:val="1001"/>
        </w:numPr>
      </w:pPr>
      <w:r>
        <w:t xml:space="preserve">Kurki MI, Karjalainen J, Palta P, Sipilä TP, Kristiansson K, Donner KM, Reeve MP, Laivuori H, Aavikko M, Kaunisto MA, et al. FinnGen provides genetic insights from a well-phenotyped isolated population. Nature. 2023;613:508-518. doi:10.1038/s41586-022-05473-8.</w:t>
      </w:r>
    </w:p>
    <w:p>
      <w:pPr>
        <w:widowControl/>
        <w:numPr>
          <w:ilvl w:val="0"/>
          <w:numId w:val="1001"/>
        </w:numPr>
      </w:pPr>
      <w:r>
        <w:t xml:space="preserve">Finan C, Gaulton A, Kruger FA, Lumbers RT, Shah T, Engmann J, Galver L, Kelley R, Karlsson A, Santos R, et al. The druggable genome and support for target identification and validation in drug development. Sci Transl Med. 2017;9:eaag1166. doi:10.1126/scitranslmed.aag1166.</w:t>
      </w:r>
    </w:p>
    <w:p>
      <w:pPr>
        <w:widowControl/>
        <w:numPr>
          <w:ilvl w:val="0"/>
          <w:numId w:val="1001"/>
        </w:numPr>
      </w:pPr>
      <w:r>
        <w:t xml:space="preserve">Chang CC, Chow CC, Tellier LC, Vattikuti S, Purcell SM, Lee JJ. Second-generation PLINK: rising to the challenge of larger and richer datasets. Gigascience. 2015;4:7. doi:10.1186/s13742-015-0047-8.</w:t>
      </w:r>
    </w:p>
    <w:p>
      <w:pPr>
        <w:widowControl/>
        <w:numPr>
          <w:ilvl w:val="0"/>
          <w:numId w:val="1001"/>
        </w:numPr>
      </w:pPr>
      <w:r>
        <w:t xml:space="preserve">1000 Genomes Project Consortium, Auton A, Brooks LD, Durbin RM, Garrison EP, Kang HM, Korbel JO, Marchini JL, McCarthy S, McVean GA, et al. A global reference for human genetic variation. Nature. 2015;526:68-74. doi:10.1038/nature15393.</w:t>
      </w:r>
    </w:p>
    <w:p>
      <w:pPr>
        <w:widowControl/>
        <w:numPr>
          <w:ilvl w:val="0"/>
          <w:numId w:val="1001"/>
        </w:numPr>
      </w:pPr>
      <w:r>
        <w:t xml:space="preserve">Zhu Z, Zhang F, Hu H, Bakshi A, Robinson MR, Powell JE, Montgomery GW, Goddard ME, Wray NR, Visscher PM, et al. Integration of summary data from GWAS and eQTL studies predicts complex trait gene targets. Nat Genet. 2016;48:481-487. doi:10.1038/ng.3538.</w:t>
      </w:r>
    </w:p>
    <w:p>
      <w:pPr>
        <w:widowControl/>
        <w:numPr>
          <w:ilvl w:val="0"/>
          <w:numId w:val="1001"/>
        </w:numPr>
      </w:pPr>
      <w:r>
        <w:t xml:space="preserve">Hemani G, Zheng J, Elsworth B, Wade KH, Haberland V, Baird D, Laurin C, Burgess S, Bowden J, Langdon R, et al. The MR-Base platform supports systematic causal inference across the human phenome. Elife. 2018;7:e34408. doi:10.7554/elife.34408.</w:t>
      </w:r>
    </w:p>
    <w:p>
      <w:pPr>
        <w:widowControl/>
        <w:numPr>
          <w:ilvl w:val="0"/>
          <w:numId w:val="1001"/>
        </w:numPr>
      </w:pPr>
      <w:r>
        <w:t xml:space="preserve">Bowden J, Davey Smith G, Burgess S. Mendelian randomization with invalid instruments: effect estimation and bias detection through Egger regression. Int J Epidemiol. 2015;44:512-525. doi:10.1093/ije/dyv080.</w:t>
      </w:r>
    </w:p>
    <w:p>
      <w:pPr>
        <w:widowControl/>
        <w:numPr>
          <w:ilvl w:val="0"/>
          <w:numId w:val="1001"/>
        </w:numPr>
      </w:pPr>
      <w:r>
        <w:t xml:space="preserve">Bowden J, Davey Smith G, Haycock PC, Burgess S. Consistent Estimation in Mendelian Randomization with Some Invalid Instruments Using a Weighted Median Estimator. Genet Epidemiol. 2016;40:304-314. doi:10.1002/gepi.21965.</w:t>
      </w:r>
    </w:p>
    <w:p>
      <w:pPr>
        <w:widowControl/>
        <w:numPr>
          <w:ilvl w:val="0"/>
          <w:numId w:val="1001"/>
        </w:numPr>
      </w:pPr>
      <w:r>
        <w:t xml:space="preserve">Hemani G, Tilling K, Davey Smith G. Orienting the causal relationship between imprecisely measured traits using GWAS summary data. PLoS Genet. 2017;13:e1007081. doi:10.1371/journal.pgen.1007081.</w:t>
      </w:r>
    </w:p>
    <w:p>
      <w:pPr>
        <w:widowControl/>
        <w:numPr>
          <w:ilvl w:val="0"/>
          <w:numId w:val="1001"/>
        </w:numPr>
      </w:pPr>
      <w:r>
        <w:t xml:space="preserve">Wallace C. Eliciting priors and relaxing the single causal variant assumption in colocalisation analyses. PLoS Genet. 2020;16:e1008720. doi:10.1371/journal.pgen.1008720.</w:t>
      </w:r>
    </w:p>
    <w:p>
      <w:pPr>
        <w:widowControl/>
        <w:numPr>
          <w:ilvl w:val="0"/>
          <w:numId w:val="1001"/>
        </w:numPr>
      </w:pPr>
      <w:r>
        <w:t xml:space="preserve">Ueda H, Howson JM, Esposito L, Heward J, Snook H, Chamberlain G, Rainbow DB, Hunter KM, Smith AN, Di Genova G, et al. Association of the T-cell regulatory gene CTLA4 with susceptibility to autoimmune disease. Nature. 2003;423:506-511. doi:10.1038/nature01621.</w:t>
      </w:r>
    </w:p>
    <w:p>
      <w:pPr>
        <w:widowControl/>
        <w:numPr>
          <w:ilvl w:val="0"/>
          <w:numId w:val="1001"/>
        </w:numPr>
      </w:pPr>
      <w:r>
        <w:t xml:space="preserve">Smith TJ, Kahaly GJ, Ezra DG, Fleming JC, Dailey RA, Tang RA, Harris GJ, Antonelli A, Salvi M, Goldberg RA, et al. Teprotumumab for Thyroid-Associated Ophthalmopathy. N Engl J Med. 2017;376:1748-1761. doi:10.1056/nejmoa1614949.</w:t>
      </w:r>
    </w:p>
    <w:p>
      <w:pPr>
        <w:widowControl/>
        <w:numPr>
          <w:ilvl w:val="0"/>
          <w:numId w:val="1001"/>
        </w:numPr>
      </w:pPr>
      <w:r>
        <w:t xml:space="preserve">Douglas RS, Kahaly GJ, Ugradar S, Elflein H, Ponto KA, Fowler BT, Dailey R, Harris GJ, Schiffman J, Tang R, et al. Teprotumumab Efficacy, Safety, and Durability in Longer-Duration Thyroid Eye Disease and Re-treatment: OPTIC-X Study. Ophthalmology. 2022;129:438-449. doi:10.1016/j.ophtha.2021.10.017.</w:t>
      </w:r>
    </w:p>
    <w:p>
      <w:pPr>
        <w:widowControl/>
        <w:numPr>
          <w:ilvl w:val="0"/>
          <w:numId w:val="1001"/>
        </w:numPr>
      </w:pPr>
      <w:r>
        <w:t xml:space="preserve">Douglas RS, Couch S, Wester ST, Fowler BT, Liu CY, Subramanian PS, Tang R, Nguyen QT, Maamari RN, Ugradar S, et al. Efficacy and Safety of Teprotumumab in Patients With Thyroid Eye Disease of Long Duration and Low Disease Activity. J Clin Endocrinol Metab. 2024;109:25-35. doi:10.1210/clinem/dgad637.</w:t>
      </w:r>
    </w:p>
    <w:p>
      <w:pPr>
        <w:widowControl/>
        <w:numPr>
          <w:ilvl w:val="0"/>
          <w:numId w:val="1001"/>
        </w:numPr>
      </w:pPr>
      <w:r>
        <w:t xml:space="preserve">GTEx Consortium. The GTEx Consortium atlas of genetic regulatory effects across human tissues. Science. 2020;369:1318-1330. doi:10.1126/science.aaz1776.</w:t>
      </w:r>
    </w:p>
    <w:p>
      <w:pPr>
        <w:widowControl/>
        <w:numPr>
          <w:ilvl w:val="0"/>
          <w:numId w:val="1001"/>
        </w:numPr>
      </w:pPr>
      <w:r>
        <w:t xml:space="preserve">Colobran R, Armengol Mdel P, Faner R, Gärtner M, Tykocinski LO, Lucas A, Ruiz M, Juan M, Kyewski B, Pujol-Borrell R. Association of an SNP with intrathymic transcription of TSHR and Graves’ disease: a role for defective thymic tolerance. Hum Mol Genet. 2011;20:3415-3423. doi:10.1093/hmg/ddr247.</w:t>
      </w:r>
    </w:p>
    <w:p>
      <w:pPr>
        <w:widowControl/>
        <w:numPr>
          <w:ilvl w:val="0"/>
          <w:numId w:val="1001"/>
        </w:numPr>
      </w:pPr>
      <w:r>
        <w:t xml:space="preserve">Marín-Sánchez A, Álvarez-Sierra D, González O, Lucas-Martin A, Sellés-Sánchez A, Rudilla F, Enrich E, Colobran R, Pujol-Borrell R. Regulation of TSHR Expression in the Thyroid and Thymus May Contribute to TSHR Tolerance Failure in Graves’ Disease Patients via Two Distinct Mechanisms. Front Immunol. 2019;10:1695. doi:10.3389/fimmu.2019.01695.</w:t>
      </w:r>
    </w:p>
    <w:p>
      <w:pPr>
        <w:widowControl/>
        <w:numPr>
          <w:ilvl w:val="0"/>
          <w:numId w:val="1001"/>
        </w:numPr>
      </w:pPr>
      <w:r>
        <w:t xml:space="preserve">Nelson MR, Tipney H, Painter JL, Shen J, Nicoletti P, Shen Y, Floratos A, Sham PC, Li MJ, Wang J, et al. The support of human genetic evidence for approved drug indications. Nat Genet. 2015;47:856-860. doi:10.1038/ng.3314.</w:t>
      </w:r>
    </w:p>
    <w:p>
      <w:pPr>
        <w:widowControl/>
        <w:numPr>
          <w:ilvl w:val="0"/>
          <w:numId w:val="1001"/>
        </w:numPr>
      </w:pPr>
      <w:r>
        <w:t xml:space="preserve">Wallace C. A more accurate method for colocalisation analysis allowing for multiple causal variants. PLoS Genet. 2021;17:e1009440. doi:10.1371/journal.pgen.1009440.</w:t>
      </w:r>
    </w:p>
    <w:bookmarkEnd w:id="25"/>
    <w:bookmarkStart w:id="26" w:name="figure-legends"/>
    <w:p>
      <w:pPr>
        <w:pStyle w:val="Heading2"/>
        <w:pageBreakBefore/>
        <w:widowControl/>
      </w:pPr>
      <w:r>
        <w:t xml:space="preserve">Figure Legends</w:t>
      </w:r>
    </w:p>
    <w:p>
      <w:pPr>
        <w:pStyle w:val="FirstParagraph"/>
        <w:widowControl/>
      </w:pPr>
      <w:r>
        <w:rPr>
          <w:b/>
          <w:bCs/>
        </w:rPr>
        <w:t xml:space="preserve">Figure 1. Study design and the druggable-gene association screen.</w:t>
      </w:r>
      <w:r>
        <w:t xml:space="preserve"> </w:t>
      </w:r>
      <w:r>
        <w:t xml:space="preserve">(A) Gene selection and discovery flow. Genes with independent blood-expression instruments were evaluated across the outcome hierarchy; genes without estimable BBJ results were not treated as negative. (B) Gene-level MR associations in BBJ Graves disease, plotted by the GRCh37 position of each gene’s strongest selected expression instrument. Each point represents one gene, not a SNP association. The horizontal line marks the discovery threshold of</w:t>
      </w:r>
      <w:r>
        <w:t xml:space="preserve"> </w:t>
      </w:r>
      <w:r>
        <w:rPr>
          <w:i/>
          <w:iCs/>
        </w:rPr>
        <w:t xml:space="preserve">P</w:t>
      </w:r>
      <w:r>
        <w:t xml:space="preserve"> </w:t>
      </w:r>
      <w:r>
        <w:t xml:space="preserve">&lt; 0.05/2,544; all 2,234 estimable genes are plotted and all 13 discovery genes are labelled.</w:t>
      </w:r>
      <w:r>
        <w:t xml:space="preserve"> </w:t>
      </w:r>
      <w:r>
        <w:rPr>
          <w:i/>
          <w:iCs/>
        </w:rPr>
        <w:t xml:space="preserve">TSHR</w:t>
      </w:r>
      <w:r>
        <w:t xml:space="preserve">,</w:t>
      </w:r>
      <w:r>
        <w:t xml:space="preserve"> </w:t>
      </w:r>
      <w:r>
        <w:rPr>
          <w:i/>
          <w:iCs/>
        </w:rPr>
        <w:t xml:space="preserve">IGF1R</w:t>
      </w:r>
      <w:r>
        <w:t xml:space="preserve"> </w:t>
      </w:r>
      <w:r>
        <w:t xml:space="preserve">and</w:t>
      </w:r>
      <w:r>
        <w:t xml:space="preserve"> </w:t>
      </w:r>
      <w:r>
        <w:rPr>
          <w:i/>
          <w:iCs/>
        </w:rPr>
        <w:t xml:space="preserve">CTLA4</w:t>
      </w:r>
      <w:r>
        <w:t xml:space="preserve"> </w:t>
      </w:r>
      <w:r>
        <w:t xml:space="preserve">are highlighted as the three biologically selected genes. Their selection for comparison did not depend on discovery significance.</w:t>
      </w:r>
    </w:p>
    <w:p>
      <w:pPr>
        <w:pStyle w:val="BodyText"/>
        <w:widowControl/>
      </w:pPr>
      <w:r>
        <w:rPr>
          <w:b/>
          <w:bCs/>
        </w:rPr>
        <w:t xml:space="preserve">Figure 2. Association estimates and regional genetic evidence for the three selected genes.</w:t>
      </w:r>
      <w:r>
        <w:t xml:space="preserve"> </w:t>
      </w:r>
      <w:r>
        <w:t xml:space="preserve">(A) Primary ORs and 95% CIs, with corresponding two-sided</w:t>
      </w:r>
      <w:r>
        <w:t xml:space="preserve"> </w:t>
      </w:r>
      <w:r>
        <w:rPr>
          <w:i/>
          <w:iCs/>
        </w:rPr>
        <w:t xml:space="preserve">P</w:t>
      </w:r>
      <w:r>
        <w:t xml:space="preserve"> </w:t>
      </w:r>
      <w:r>
        <w:t xml:space="preserve">values. Bold</w:t>
      </w:r>
      <w:r>
        <w:t xml:space="preserve"> </w:t>
      </w:r>
      <w:r>
        <w:rPr>
          <w:i/>
          <w:iCs/>
        </w:rPr>
        <w:t xml:space="preserve">P</w:t>
      </w:r>
      <w:r>
        <w:t xml:space="preserve"> </w:t>
      </w:r>
      <w:r>
        <w:t xml:space="preserve">values and asterisks (*) indicate nominal</w:t>
      </w:r>
      <w:r>
        <w:t xml:space="preserve"> </w:t>
      </w:r>
      <w:r>
        <w:rPr>
          <w:i/>
          <w:iCs/>
        </w:rPr>
        <w:t xml:space="preserve">P</w:t>
      </w:r>
      <w:r>
        <w:t xml:space="preserve"> </w:t>
      </w:r>
      <w:r>
        <w:t xml:space="preserve">&lt; 0.05; daggers (†) additionally mark BBJ discovery significance at</w:t>
      </w:r>
      <w:r>
        <w:t xml:space="preserve"> </w:t>
      </w:r>
      <w:r>
        <w:rPr>
          <w:i/>
          <w:iCs/>
        </w:rPr>
        <w:t xml:space="preserve">P</w:t>
      </w:r>
      <w:r>
        <w:t xml:space="preserve"> </w:t>
      </w:r>
      <w:r>
        <w:t xml:space="preserve">&lt; 0.05/2,544. The OR axis is logarithmic, with a reference line at one. ORs refer to reconstructed genetically proxied blood expression, not treatment effects. All nine comparisons are included. (B) Regional colocalization probabilities under the primary prior, aligned with the same gene–outcome rows. Stacked bars show expression-only support (H2), support for distinct variants (H3), shared-variant support (H4), and residual H0/H1 support. Exact displayed H4 probabilities are given at right. These probabilities are not</w:t>
      </w:r>
      <w:r>
        <w:t xml:space="preserve"> </w:t>
      </w:r>
      <w:r>
        <w:rPr>
          <w:i/>
          <w:iCs/>
        </w:rPr>
        <w:t xml:space="preserve">P</w:t>
      </w:r>
      <w:r>
        <w:t xml:space="preserve"> </w:t>
      </w:r>
      <w:r>
        <w:t xml:space="preserve">values; ≥0.80 was the threshold for strong shared-variant support. The figure displays the discordance between association strength and shared-variant evidence without treating either as proof of a therapeutic effect.</w:t>
      </w:r>
    </w:p>
    <w:p>
      <w:pPr>
        <w:pStyle w:val="BodyText"/>
        <w:widowControl/>
      </w:pPr>
      <w:r>
        <w:rPr>
          <w:b/>
          <w:bCs/>
        </w:rPr>
        <w:t xml:space="preserve">Figure 3. Shared-variant evidence across candidates and sensitivity to prior assumptions.</w:t>
      </w:r>
      <w:r>
        <w:t xml:space="preserve"> </w:t>
      </w:r>
      <w:r>
        <w:t xml:space="preserve">(A) Primary-prior PP.H4 values for all nine evaluated genes and three outcomes. Black cell borders indicate strong shared-variant support (PP.H4 ≥ 0.80), not</w:t>
      </w:r>
      <w:r>
        <w:t xml:space="preserve"> </w:t>
      </w:r>
      <w:r>
        <w:rPr>
          <w:i/>
          <w:iCs/>
        </w:rPr>
        <w:t xml:space="preserve">P</w:t>
      </w:r>
      <w:r>
        <w:t xml:space="preserve">-value significance; probabilities below 0.001 are labelled &lt;0.001. A gene passes the combined criterion only when both BBJ and FinnGen meet that threshold; UKB is an additional comparison.</w:t>
      </w:r>
      <w:r>
        <w:t xml:space="preserve"> </w:t>
      </w:r>
      <w:r>
        <w:rPr>
          <w:i/>
          <w:iCs/>
        </w:rPr>
        <w:t xml:space="preserve">TSHR</w:t>
      </w:r>
      <w:r>
        <w:t xml:space="preserve">,</w:t>
      </w:r>
      <w:r>
        <w:t xml:space="preserve"> </w:t>
      </w:r>
      <w:r>
        <w:rPr>
          <w:i/>
          <w:iCs/>
        </w:rPr>
        <w:t xml:space="preserve">IGF1R</w:t>
      </w:r>
      <w:r>
        <w:t xml:space="preserve"> </w:t>
      </w:r>
      <w:r>
        <w:t xml:space="preserve">and</w:t>
      </w:r>
      <w:r>
        <w:t xml:space="preserve"> </w:t>
      </w:r>
      <w:r>
        <w:rPr>
          <w:i/>
          <w:iCs/>
        </w:rPr>
        <w:t xml:space="preserve">CTLA4</w:t>
      </w:r>
      <w:r>
        <w:t xml:space="preserve"> </w:t>
      </w:r>
      <w:r>
        <w:t xml:space="preserve">were biologically selected, while the other six genes were additional discovery candidates. (B) Prior sensitivity for the three selected genes. D, I and C denote default, intermediate and conservative shared-association priors (p12 = 10⁻⁵, 5×10⁻⁶ and 10⁻⁶), with p1 = p2 = 10⁻⁴ throughout. The dashed line marks 0.80. Prior changes can alter classification even when frequency substitution does not; Tables S3–S4 report the separate cohort-frequency sensitivity. Full H0–H4 probabilities and all 81 gene–outcome–prior settings are in Supplementary Data 3.</w:t>
      </w:r>
    </w:p>
    <w:bookmarkEnd w:id="26"/>
    <w:bookmarkStart w:id="27" w:name="tables"/>
    <w:p>
      <w:pPr>
        <w:sectPr>
          <w:footerReference w:type="default" r:id="rId9"/>
          <w:footerReference w:type="first" r:id="rId10"/>
          <w:footerReference w:type="even" r:id="rId11"/>
          <w:footnotePr>
            <w:numRestart w:val="eachSect"/>
          </w:footnotePr>
          <w:type w:val="nextPage"/>
          <w:pgSz w:w="11909" w:h="16834"/>
          <w:pgMar w:left="1368" w:right="1368" w:top="1152" w:bottom="1152" w:header="432" w:footer="432"/>
          <w:lnNumType w:countBy="1" w:restart="continuous" w:distance="240"/>
        </w:sectPr>
      </w:pPr>
    </w:p>
    <w:p>
      <w:pPr>
        <w:pStyle w:val="FirstParagraph"/>
        <w:keepNext/>
        <w:widowControl/>
        <w:spacing w:line="264" w:lineRule="auto" w:after="140"/>
      </w:pPr>
      <w:r>
        <w:rPr>
          <w:b/>
          <w:bCs/>
          <w:sz w:val="20"/>
        </w:rPr>
        <w:t xml:space="preserve">Table 1. Data sources and roles in the study</w:t>
      </w:r>
    </w:p>
    <w:tbl>
      <w:tblPr>
        <w:tblW w:type="dxa" w:w="9173"/>
        <w:jc w:val="center"/>
        <w:tblLayout w:type="fixed"/>
        <w:tblLook w:firstColumn="1" w:firstRow="1" w:lastColumn="0" w:lastRow="0" w:noHBand="0" w:noVBand="1" w:val="04A0"/>
      </w:tblPr>
      <w:tblGrid>
        <w:gridCol w:w="2376"/>
        <w:gridCol w:w="1613"/>
        <w:gridCol w:w="835"/>
        <w:gridCol w:w="1008"/>
        <w:gridCol w:w="3341"/>
      </w:tblGrid>
      <w:tr>
        <w:trPr>
          <w:cantSplit/>
          <w:tblHeader/>
        </w:trPr>
        <w:tc>
          <w:tcPr>
            <w:tcW w:type="dxa" w:w="2376"/>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161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83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00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334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p>
      <w:pPr>
        <w:pStyle w:val="BodyText"/>
        <w:keepNext/>
        <w:pageBreakBefore/>
        <w:widowControl/>
        <w:spacing w:line="264" w:lineRule="auto" w:after="140"/>
      </w:pPr>
      <w:r>
        <w:rPr>
          <w:b/>
          <w:bCs/>
          <w:sz w:val="20"/>
        </w:rPr>
        <w:t xml:space="preserve">Table 2. Primary associations for the three selected genes</w:t>
      </w:r>
    </w:p>
    <w:tbl>
      <w:tblPr>
        <w:tblW w:type="dxa" w:w="9173"/>
        <w:jc w:val="center"/>
        <w:tblLayout w:type="fixed"/>
        <w:tblLook w:firstColumn="1" w:firstRow="1" w:lastColumn="0" w:lastRow="0" w:noHBand="0" w:noVBand="1" w:val="04A0"/>
      </w:tblPr>
      <w:tblGrid>
        <w:gridCol w:w="691"/>
        <w:gridCol w:w="1584"/>
        <w:gridCol w:w="1296"/>
        <w:gridCol w:w="1584"/>
        <w:gridCol w:w="1080"/>
        <w:gridCol w:w="1080"/>
        <w:gridCol w:w="965"/>
        <w:gridCol w:w="893"/>
      </w:tblGrid>
      <w:tr>
        <w:trPr>
          <w:cantSplit/>
          <w:tblHeader/>
        </w:trPr>
        <w:tc>
          <w:tcPr>
            <w:tcW w:type="dxa" w:w="691"/>
            <w:vAlign w:val="center"/>
            <w:tcMar>
              <w:top w:w="80" w:type="dxa"/>
              <w:bottom w:w="80" w:type="dxa"/>
              <w:left w:w="40" w:type="dxa"/>
              <w:right w:w="40" w:type="dxa"/>
            </w:tcMar>
            <w:shd w:fill="EEEEEE"/>
          </w:tcPr>
          <w:p>
            <w:pPr>
              <w:keepNext w:val="0"/>
              <w:spacing w:line="252" w:lineRule="auto" w:before="0" w:after="0"/>
              <w:jc w:val="left"/>
            </w:pPr>
            <w:r>
              <w:rPr>
                <w:rFonts w:ascii="Times New Roman" w:hAnsi="Times New Roman"/>
                <w:b/>
                <w:sz w:val="19"/>
              </w:rPr>
              <w:t xml:space="preserve">Gene</w:t>
            </w:r>
          </w:p>
        </w:tc>
        <w:tc>
          <w:tcPr>
            <w:tcW w:type="dxa" w:w="1584"/>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29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58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OR (95% CI)</w:t>
            </w:r>
          </w:p>
        </w:tc>
        <w:tc>
          <w:tcPr>
            <w:tcW w:type="dxa" w:w="1080"/>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i/>
                <w:iCs/>
                <w:sz w:val="19"/>
              </w:rPr>
              <w:t xml:space="preserve">P</w:t>
            </w:r>
            <w:r>
              <w:rPr>
                <w:rFonts w:ascii="Times New Roman" w:hAnsi="Times New Roman"/>
                <w:b/>
                <w:sz w:val="19"/>
              </w:rPr>
              <w:t xml:space="preserve"> </w:t>
            </w:r>
            <w:r>
              <w:rPr>
                <w:rFonts w:ascii="Times New Roman" w:hAnsi="Times New Roman"/>
                <w:b/>
                <w:sz w:val="19"/>
              </w:rPr>
              <w:t xml:space="preserve">value</w:t>
            </w:r>
          </w:p>
        </w:tc>
        <w:tc>
          <w:tcPr>
            <w:tcW w:type="dxa" w:w="1080"/>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Expression only (PP.H2)</w:t>
            </w:r>
          </w:p>
        </w:tc>
        <w:tc>
          <w:tcPr>
            <w:tcW w:type="dxa" w:w="96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Distinct variants (PP.H3)</w:t>
            </w:r>
          </w:p>
        </w:tc>
        <w:tc>
          <w:tcPr>
            <w:tcW w:type="dxa" w:w="89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Shared variant (PP.H4)</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0.12 (0.07–0.21)</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1.09×10⁻¹⁴</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0.049</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0.951</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0.09 (0.06–0.14)</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8.77×10⁻²⁸</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0.774</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0.226</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0.10 (0.04–0.24)</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2.82×10⁻⁷</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0.014</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0.986</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1.56 (1.07–2.28)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0.690</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0.236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0.073</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1.35 (1.07–1.70)</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0.400</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0.196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0.404</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1.41 (0.85–2.33)</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0.623</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0.346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0.032</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0.18 (0.11–0.27)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5.45×10⁻¹⁵</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0.799</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0.201</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0.21 (0.08–0.57)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0.047</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0.953</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0.17 (0.04–0.68)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0.022</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0.978</w:t>
            </w:r>
          </w:p>
        </w:tc>
      </w:tr>
    </w:tbl>
    <w:p>
      <w:pPr>
        <w:pStyle w:val="BodyText"/>
        <w:widowControl/>
        <w:spacing w:line="264" w:lineRule="auto" w:after="140"/>
      </w:pPr>
      <w:r>
        <w:rPr>
          <w:sz w:val="20"/>
        </w:rPr>
        <w:t xml:space="preserve">ORs are per approximately one SD higher reconstructed, genetically proxied blood expression. Wald ratio was used for one instrument and IVW for multiple instruments.</w:t>
      </w:r>
      <w:r>
        <w:rPr>
          <w:sz w:val="20"/>
        </w:rPr>
        <w:t xml:space="preserve"> </w:t>
      </w:r>
      <w:r>
        <w:rPr>
          <w:i/>
          <w:iCs/>
          <w:sz w:val="20"/>
        </w:rPr>
        <w:t xml:space="preserve">P</w:t>
      </w:r>
      <w:r>
        <w:rPr>
          <w:sz w:val="20"/>
        </w:rPr>
        <w:t xml:space="preserve"> </w:t>
      </w:r>
      <w:r>
        <w:rPr>
          <w:sz w:val="20"/>
        </w:rPr>
        <w:t xml:space="preserve">values are two-sided and shown to three significant digits; BBJ discovery significance requires</w:t>
      </w:r>
      <w:r>
        <w:rPr>
          <w:sz w:val="20"/>
        </w:rPr>
        <w:t xml:space="preserve"> </w:t>
      </w:r>
      <w:r>
        <w:rPr>
          <w:i/>
          <w:iCs/>
          <w:sz w:val="20"/>
        </w:rPr>
        <w:t xml:space="preserve">P</w:t>
      </w:r>
      <w:r>
        <w:rPr>
          <w:sz w:val="20"/>
        </w:rPr>
        <w:t xml:space="preserve"> </w:t>
      </w:r>
      <w:r>
        <w:rPr>
          <w:sz w:val="20"/>
        </w:rPr>
        <w:t xml:space="preserve">&lt; 1.965×10⁻⁵, while</w:t>
      </w:r>
      <w:r>
        <w:rPr>
          <w:sz w:val="20"/>
        </w:rPr>
        <w:t xml:space="preserve"> </w:t>
      </w:r>
      <w:r>
        <w:rPr>
          <w:i/>
          <w:iCs/>
          <w:sz w:val="20"/>
        </w:rPr>
        <w:t xml:space="preserve">P</w:t>
      </w:r>
      <w:r>
        <w:rPr>
          <w:sz w:val="20"/>
        </w:rPr>
        <w:t xml:space="preserve"> </w:t>
      </w:r>
      <w:r>
        <w:rPr>
          <w:sz w:val="20"/>
        </w:rPr>
        <w:t xml:space="preserve">&lt; 0.05 in other outcomes is nominal. H2, H3 and H4 denote expression only, distinct variants and a shared variant under the single-causal-variant model; these posterior probabilities are not</w:t>
      </w:r>
      <w:r>
        <w:rPr>
          <w:sz w:val="20"/>
        </w:rPr>
        <w:t xml:space="preserve"> </w:t>
      </w:r>
      <w:r>
        <w:rPr>
          <w:i/>
          <w:iCs/>
          <w:sz w:val="20"/>
        </w:rPr>
        <w:t xml:space="preserve">P</w:t>
      </w:r>
      <w:r>
        <w:rPr>
          <w:sz w:val="20"/>
        </w:rPr>
        <w:t xml:space="preserve"> </w:t>
      </w:r>
      <w:r>
        <w:rPr>
          <w:sz w:val="20"/>
        </w:rPr>
        <w:t xml:space="preserve">values. H0/H1 account for any remaining probability. H4 ≥ 0.80 denotes strong shared-variant support. H2 dominance does not prove absence of marginal disease association. For rs179252, the G-allele exposure coefficient was 0.10546; aligned disease log-ORs were −0.22103 (BBJ), −0.25691 (UKB, after scale conversion) and −0.24587 (FinnGen), corresponding to variant-level ORs of 0.802, 0.773 and 0.782. These variant effects and the scaled MR ORs answer different questions. European</w:t>
      </w:r>
      <w:r>
        <w:rPr>
          <w:sz w:val="20"/>
        </w:rPr>
        <w:t xml:space="preserve"> </w:t>
      </w:r>
      <w:r>
        <w:rPr>
          <w:i/>
          <w:iCs/>
          <w:sz w:val="20"/>
        </w:rPr>
        <w:t xml:space="preserve">CTLA4</w:t>
      </w:r>
      <w:r>
        <w:rPr>
          <w:sz w:val="20"/>
        </w:rPr>
        <w:t xml:space="preserve"> </w:t>
      </w:r>
      <w:r>
        <w:rPr>
          <w:sz w:val="20"/>
        </w:rPr>
        <w:t xml:space="preserve">MR support was concentrated in rs13030124; the other instrument alone gave imprecise estimates spanning OR = 1 (Table S5). Full probabilities are in Supplementary Data 3; sensitivity results are in Tables S1–S3 and S5.</w:t>
      </w:r>
    </w:p>
    <w:p>
      <w:pPr>
        <w:pStyle w:val="BodyText"/>
        <w:keepNext/>
        <w:pageBreakBefore/>
        <w:widowControl/>
        <w:spacing w:line="264" w:lineRule="auto" w:after="140"/>
      </w:pPr>
      <w:r>
        <w:rPr>
          <w:b/>
          <w:bCs/>
          <w:sz w:val="20"/>
        </w:rPr>
        <w:t xml:space="preserve">Table 3. All thirteen discovery associations</w:t>
      </w:r>
    </w:p>
    <w:tbl>
      <w:tblPr>
        <w:tblW w:type="dxa" w:w="9173"/>
        <w:jc w:val="center"/>
        <w:tblLayout w:type="fixed"/>
        <w:tblLook w:firstColumn="1" w:firstRow="1" w:lastColumn="0" w:lastRow="0" w:noHBand="0" w:noVBand="1" w:val="04A0"/>
      </w:tblPr>
      <w:tblGrid>
        <w:gridCol w:w="1195"/>
        <w:gridCol w:w="1368"/>
        <w:gridCol w:w="1901"/>
        <w:gridCol w:w="1267"/>
        <w:gridCol w:w="3442"/>
      </w:tblGrid>
      <w:tr>
        <w:trPr>
          <w:cantSplit/>
          <w:tblHeader/>
        </w:trPr>
        <w:tc>
          <w:tcPr>
            <w:tcW w:type="dxa" w:w="119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6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190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267"/>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i/>
                <w:iCs/>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344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HLA-A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HLA-DQA2</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C4A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HSD3B7</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TUBB</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VKORC1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TNFSF14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PRSS36</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MAPKAPK5</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0.977 (0.967–0.987)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PSMB8</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IFNGR1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widowControl/>
        <w:spacing w:line="264" w:lineRule="auto" w:after="140"/>
      </w:pPr>
      <w:r>
        <w:rPr>
          <w:sz w:val="20"/>
        </w:rPr>
        <w:t xml:space="preserve">All genes met the same multiple-testing threshold and are listed by discovery</w:t>
      </w:r>
      <w:r>
        <w:rPr>
          <w:sz w:val="20"/>
        </w:rPr>
        <w:t xml:space="preserve"> </w:t>
      </w:r>
      <w:r>
        <w:rPr>
          <w:i/>
          <w:iCs/>
          <w:sz w:val="20"/>
        </w:rPr>
        <w:t xml:space="preserve">P</w:t>
      </w:r>
      <w:r>
        <w:rPr>
          <w:sz w:val="20"/>
        </w:rPr>
        <w:t xml:space="preserve"> </w:t>
      </w:r>
      <w:r>
        <w:rPr>
          <w:sz w:val="20"/>
        </w:rPr>
        <w:t xml:space="preserve">value. The</w:t>
      </w:r>
      <w:r>
        <w:rPr>
          <w:sz w:val="20"/>
        </w:rPr>
        <w:t xml:space="preserve"> </w:t>
      </w:r>
      <w:r>
        <w:rPr>
          <w:i/>
          <w:iCs/>
          <w:sz w:val="20"/>
        </w:rPr>
        <w:t xml:space="preserve">MAPKAPK5</w:t>
      </w:r>
      <w:r>
        <w:rPr>
          <w:sz w:val="20"/>
        </w:rPr>
        <w:t xml:space="preserve"> </w:t>
      </w:r>
      <w:r>
        <w:rPr>
          <w:sz w:val="20"/>
        </w:rPr>
        <w:t xml:space="preserve">estimate is shown to three decimals to preserve its small effect size.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bookmarkEnd w:id="27"/>
    <w:bookmarkEnd w:id="28"/>
    <w:sectPr>
      <w:footnotePr>
        <w:numRestart w:val="eachSect"/>
      </w:footnote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qFormat/>
    <w:pPr>
      <w:spacing w:after="0" w:before="180" w:line="480" w:lineRule="auto"/>
    </w:pPr>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link w:val="TitleChar"/>
    <w:uiPriority w:val="10"/>
    <w:qFormat/>
    <w:rsid w:val="00A10FD9"/>
    <w:pPr>
      <w:keepNext/>
      <w:spacing w:after="120" w:line="276" w:lineRule="auto" w:before="240"/>
      <w:contextualSpacing/>
      <w:jc w:val="center"/>
    </w:pPr>
    <w:rPr>
      <w:rFonts w:asciiTheme="majorHAnsi" w:cstheme="majorBidi" w:eastAsiaTheme="majorEastAsia" w:hAnsiTheme="majorHAnsi" w:ascii="Times New Roman" w:hAnsi="Times New Roman"/>
      <w:b/>
      <w:color w:val="000000"/>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276"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76" w:lineRule="auto"/>
      <w:outlineLvl w:val="1"/>
    </w:pPr>
    <w:rPr>
      <w:rFonts w:asciiTheme="majorHAnsi" w:cstheme="majorBidi" w:eastAsiaTheme="majorEastAsia" w:hAnsiTheme="majorHAnsi" w:ascii="Times New Roman" w:hAnsi="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76" w:lineRule="auto"/>
      <w:outlineLvl w:val="2"/>
    </w:pPr>
    <w:rPr>
      <w:rFonts w:cstheme="majorBidi" w:eastAsiaTheme="majorEastAsia" w:ascii="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76" w:lineRule="auto"/>
      <w:outlineLvl w:val="3"/>
    </w:pPr>
    <w:rPr>
      <w:rFonts w:cstheme="majorBidi" w:eastAsiaTheme="majorEastAsia" w:ascii="Times New Roman"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TSHR and IGF1R expression in Graves disease: Mendelian randomization and colocalization</dc:title>
  <dc:creator>Jungyul Park; Min-Seon Kim; Kyung-Hwa Shin; Suk-Woo Yang</dc:creator>
  <cp:keywords/>
  <dcterms:created xsi:type="dcterms:W3CDTF">2026-09-14T04:06:08Z</dcterms:created>
  <dcterms:modified xsi:type="dcterms:W3CDTF">2026-09-14T04:06:08Z</dcterms:modified>
  <dc:identifier>MANUSCRIPT_Submission</dc:identifier>
  <cp:lastModifiedBy/>
</cp:coreProperties>
</file>

<file path=docProps/custom.xml><?xml version="1.0" encoding="utf-8"?>
<Properties xmlns="http://schemas.openxmlformats.org/officeDocument/2006/custom-properties" xmlns:vt="http://schemas.openxmlformats.org/officeDocument/2006/docPropsVTypes"/>
</file>