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keepNext/>
        <w:pageBreakBefore w:val="0"/>
        <w:widowControl/>
        <w:spacing w:line="264" w:lineRule="auto" w:after="140"/>
      </w:pPr>
      <w:r>
        <w:rPr>
          <w:b/>
          <w:bCs/>
          <w:sz w:val="20"/>
        </w:rPr>
        <w:t xml:space="preserve">Table S5. Post hoc leave-one-out sensitivity analysis</w:t>
      </w:r>
    </w:p>
    <w:tbl>
      <w:tblPr>
        <w:tblW w:type="dxa" w:w="14818"/>
        <w:jc w:val="center"/>
        <w:tblLayout w:type="fixed"/>
        <w:tblLook w:firstColumn="1" w:firstRow="1" w:lastColumn="0" w:lastRow="0" w:noHBand="0" w:noVBand="1" w:val="04A0"/>
      </w:tblPr>
      <w:tblGrid>
        <w:gridCol w:w="1134"/>
        <w:gridCol w:w="1296"/>
        <w:gridCol w:w="2267"/>
        <w:gridCol w:w="1538"/>
        <w:gridCol w:w="1943"/>
        <w:gridCol w:w="4534"/>
        <w:gridCol w:w="2105"/>
      </w:tblGrid>
      <w:tr>
        <w:trPr>
          <w:cantSplit/>
          <w:tblHeader/>
        </w:trPr>
        <w:tc>
          <w:tcPr>
            <w:tcW w:type="dxa" w:w="1134"/>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Gene</w:t>
            </w:r>
          </w:p>
        </w:tc>
        <w:tc>
          <w:tcPr>
            <w:tcW w:type="dxa" w:w="1296"/>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Outcome</w:t>
            </w:r>
          </w:p>
        </w:tc>
        <w:tc>
          <w:tcPr>
            <w:tcW w:type="dxa" w:w="2267"/>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Excluded SNP</w:t>
            </w:r>
          </w:p>
        </w:tc>
        <w:tc>
          <w:tcPr>
            <w:tcW w:type="dxa" w:w="1538"/>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Remaining SNPs</w:t>
            </w:r>
          </w:p>
        </w:tc>
        <w:tc>
          <w:tcPr>
            <w:tcW w:type="dxa" w:w="1943"/>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Estimator</w:t>
            </w:r>
          </w:p>
        </w:tc>
        <w:tc>
          <w:tcPr>
            <w:tcW w:type="dxa" w:w="453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OR (95% CI)</w:t>
            </w:r>
          </w:p>
        </w:tc>
        <w:tc>
          <w:tcPr>
            <w:tcW w:type="dxa" w:w="210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i/>
                <w:iCs/>
                <w:sz w:val="20"/>
              </w:rPr>
              <w:t xml:space="preserve">P</w:t>
            </w:r>
            <w:r>
              <w:rPr>
                <w:rFonts w:ascii="Times New Roman" w:hAnsi="Times New Roman"/>
                <w:b/>
                <w:sz w:val="20"/>
              </w:rPr>
              <w:t xml:space="preserve"> </w:t>
            </w:r>
            <w:r>
              <w:rPr>
                <w:rFonts w:ascii="Times New Roman" w:hAnsi="Times New Roman"/>
                <w:b/>
                <w:sz w:val="20"/>
              </w:rPr>
              <w:t xml:space="preserve">value</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rs117212126</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1.569 (1.067–2.307)</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0.0222</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rs2654980</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1.488 (0.961–2.304)</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0.0751</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rs59467480</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1.503 (1.000–2.261)</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0.0503</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rs7181339</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1.830 (1.017–3.295)</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0.0439</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rs117212126</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1.353 (0.996–1.837)</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0.0529</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rs2654980</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1.157 (0.780–1.715)</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0.468</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rs59467480</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1.321 (1.014–1.721)</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0.0389</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rs7181339</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1.472 (1.183–1.832)</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5.31×10⁻⁴</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rs2654980</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1.577 (0.360–6.907)</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0.546</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rs59467480</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1.511 (0.938–2.436)</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0.0899</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rs7181339</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IVW</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1.259 (0.713–2.224)</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0.426</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CTLA4</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rs13030124</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Wald ratio</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1.018 (0.368–2.816)</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0.972</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CTLA4</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rs148849825</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Wald ratio</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0.176 (0.127–0.245)</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4.04×10⁻²⁵</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CTLA4</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rs13030124</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Wald ratio</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1.717 (0.156–18.898)</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0.659</w:t>
            </w:r>
          </w:p>
        </w:tc>
      </w:tr>
      <w:tr>
        <w:trPr>
          <w:cantSplit/>
        </w:trPr>
        <w:tc>
          <w:tcPr>
            <w:tcW w:type="dxa" w:w="1134"/>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CTLA4</w:t>
            </w:r>
          </w:p>
        </w:tc>
        <w:tc>
          <w:tcPr>
            <w:tcW w:type="dxa" w:w="129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w:t>
            </w:r>
          </w:p>
        </w:tc>
        <w:tc>
          <w:tcPr>
            <w:tcW w:type="dxa" w:w="2267"/>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rs148849825</w:t>
            </w:r>
          </w:p>
        </w:tc>
        <w:tc>
          <w:tcPr>
            <w:tcW w:type="dxa" w:w="153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w:t>
            </w:r>
          </w:p>
        </w:tc>
        <w:tc>
          <w:tcPr>
            <w:tcW w:type="dxa" w:w="194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Wald ratio</w:t>
            </w:r>
          </w:p>
        </w:tc>
        <w:tc>
          <w:tcPr>
            <w:tcW w:type="dxa" w:w="453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0.138 (0.066–0.286)</w:t>
            </w:r>
          </w:p>
        </w:tc>
        <w:tc>
          <w:tcPr>
            <w:tcW w:type="dxa" w:w="2105"/>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1.03×10⁻⁷</w:t>
            </w:r>
          </w:p>
        </w:tc>
      </w:tr>
    </w:tbl>
    <w:p>
      <w:pPr>
        <w:pStyle w:val="BodyText"/>
        <w:pageBreakBefore w:val="0"/>
        <w:widowControl/>
        <w:spacing w:line="264" w:lineRule="auto" w:after="140"/>
      </w:pPr>
      <w:r>
        <w:rPr>
          <w:sz w:val="20"/>
        </w:rPr>
        <w:t xml:space="preserve">BBJ denotes Graves disease; UKB, hyperthyroidism; FinnGen, Graves ophthalmopathy. The named SNP was excluded, not retained. ORs are per approximately one SD higher reconstructed blood expression. All 15 omissions from the five eligible comparisons are shown. Remaining two- or three-SNP sets used IVW; one-SNP sets used the Wald ratio. Original reference-frequency estimates were used, and this analysis was not repeated after frequency substitution. TSHR in all outcomes and CTLA4 in BBJ were ineligible because only one SNP was available.</w:t>
      </w:r>
      <w:r>
        <w:rPr>
          <w:sz w:val="20"/>
        </w:rPr>
        <w:t xml:space="preserve"> </w:t>
      </w:r>
      <w:r>
        <w:rPr>
          <w:i/>
          <w:iCs/>
          <w:sz w:val="20"/>
        </w:rPr>
        <w:t xml:space="preserve">P</w:t>
      </w:r>
      <w:r>
        <w:rPr>
          <w:sz w:val="20"/>
        </w:rPr>
        <w:t xml:space="preserve"> </w:t>
      </w:r>
      <w:r>
        <w:rPr>
          <w:sz w:val="20"/>
        </w:rPr>
        <w:t xml:space="preserve">values are two-sided; nominal</w:t>
      </w:r>
      <w:r>
        <w:rPr>
          <w:sz w:val="20"/>
        </w:rPr>
        <w:t xml:space="preserve"> </w:t>
      </w:r>
      <w:r>
        <w:rPr>
          <w:i/>
          <w:iCs/>
          <w:sz w:val="20"/>
        </w:rPr>
        <w:t xml:space="preserve">P</w:t>
      </w:r>
      <w:r>
        <w:rPr>
          <w:sz w:val="20"/>
        </w:rPr>
        <w:t xml:space="preserve"> </w:t>
      </w:r>
      <w:r>
        <w:rPr>
          <w:sz w:val="20"/>
        </w:rPr>
        <w:t xml:space="preserve">&lt; 0.05 is emphasized descriptively, not as an additional discovery threshold. Effect estimates and CIs are shown to three decimals. Full precision and five all-SNP comparator rows are in Supplementary Data 6.</w:t>
      </w:r>
    </w:p>
    <w:sectPr>
      <w:footnotePr>
        <w:numRestart w:val="eachSect"/>
      </w:footnotePr>
      <w:pgSz w:w="16834" w:h="11909" w:orient="landscape"/>
      <w:pgMar w:left="1008" w:right="1008"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56" w:lineRule="auto" w:after="0"/>
    </w:pPr>
    <w:rPr>
      <w:rFonts w:ascii="Times New Roman" w:hAnsi="Times New Roman"/>
      <w:sz w:val="24"/>
    </w:rPr>
  </w:style>
  <w:style w:styleId="BodyText" w:type="paragraph">
    <w:name w:val="Body Text"/>
    <w:basedOn w:val="Normal"/>
    <w:link w:val="BodyTextChar"/>
    <w:qFormat/>
    <w:pPr>
      <w:spacing w:after="0" w:before="180" w:line="456" w:lineRule="auto"/>
    </w:pPr>
    <w:rPr>
      <w:rFonts w:ascii="Times New Roman" w:hAnsi="Times New Roman"/>
      <w:sz w:val="24"/>
    </w:rPr>
  </w:style>
  <w:style w:customStyle="1" w:styleId="FirstParagraph" w:type="paragraph">
    <w:name w:val="First Paragraph"/>
    <w:basedOn w:val="BodyText"/>
    <w:next w:val="BodyText"/>
    <w:qFormat/>
    <w:pPr>
      <w:spacing w:line="456" w:lineRule="auto" w:after="0"/>
    </w:pPr>
    <w:rPr>
      <w:rFonts w:ascii="Times New Roman" w:hAnsi="Times New Roman"/>
      <w:sz w:val="24"/>
    </w:rPr>
  </w:style>
  <w:style w:customStyle="1" w:styleId="Compact" w:type="paragraph">
    <w:name w:val="Compact"/>
    <w:basedOn w:val="BodyText"/>
    <w:qFormat/>
    <w:pPr>
      <w:spacing w:after="0" w:before="36" w:line="456" w:lineRule="auto"/>
    </w:pPr>
    <w:rPr>
      <w:rFonts w:ascii="Times New Roman" w:hAnsi="Times New Roman"/>
      <w:sz w:val="24"/>
    </w:rPr>
  </w:style>
  <w:style w:styleId="Title" w:type="paragraph">
    <w:name w:val="Title"/>
    <w:basedOn w:val="Normal"/>
    <w:next w:val="BodyText"/>
    <w:link w:val="TitleChar"/>
    <w:uiPriority w:val="10"/>
    <w:qFormat/>
    <w:rsid w:val="00A10FD9"/>
    <w:pPr>
      <w:keepNext/>
      <w:spacing w:after="120" w:line="276" w:lineRule="auto" w:before="240"/>
      <w:contextualSpacing/>
      <w:jc w:val="center"/>
    </w:pPr>
    <w:rPr>
      <w:rFonts w:asciiTheme="majorHAnsi" w:cstheme="majorBidi" w:eastAsiaTheme="majorEastAsia" w:hAnsiTheme="majorHAnsi" w:ascii="Times New Roman" w:hAnsi="Times New Roman"/>
      <w:b/>
      <w:color w:val="000000"/>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456" w:lineRule="auto" w:after="0"/>
    </w:pPr>
    <w:rPr>
      <w:rFonts w:ascii="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S5</dc:title>
  <dc:creator>Jungyul Park; Min-Seon Kim; Kyung-Hwa Shin; Suk-Woo Yang</dc:creator>
  <cp:keywords/>
  <dcterms:created xsi:type="dcterms:W3CDTF">2026-09-14T04:03:10Z</dcterms:created>
  <dcterms:modified xsi:type="dcterms:W3CDTF">2026-09-14T04:03:10Z</dcterms:modified>
  <dc:identifier>TableS5</dc:identifier>
  <cp:lastModifiedBy/>
</cp:coreProperties>
</file>

<file path=docProps/custom.xml><?xml version="1.0" encoding="utf-8"?>
<Properties xmlns="http://schemas.openxmlformats.org/officeDocument/2006/custom-properties" xmlns:vt="http://schemas.openxmlformats.org/officeDocument/2006/docPropsVTypes"/>
</file>