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Diverging genetic architecture of TSHR and IGF1R in GD/TED</w:t>
      </w:r>
    </w:p>
    <w:bookmarkStart w:id="42" w:name="X14fa581d7eccf933d0c504c185d9a2d8cdf7a99"/>
    <w:p>
      <w:pPr>
        <w:pStyle w:val="Heading1"/>
      </w:pPr>
      <w:r>
        <w:t xml:space="preserve">Genetic susceptibility and therapeutic target biology diverge at TSHR and IGF1R in Graves disease and thyroid eye disease</w:t>
      </w:r>
    </w:p>
    <w:p>
      <w:pPr>
        <w:pStyle w:val="FirstParagraph"/>
      </w:pPr>
      <w:r>
        <w:t xml:space="preserve">Jungyul Park¹, Min-Seon Kim²,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represents a genetically anchored susceptibility locus or a pharmacologic effector axis distinct from the established autoantigen</w:t>
      </w:r>
      <w:r>
        <w:t xml:space="preserve"> </w:t>
      </w:r>
      <w:r>
        <w:rPr>
          <w:iCs/>
          <w:i/>
        </w:rPr>
        <w:t xml:space="preserve">TSHR</w:t>
      </w:r>
      <w:r>
        <w:t xml:space="preserve"> </w:t>
      </w:r>
      <w:r>
        <w:t xml:space="preserve">remains unclear. We applied a druggable-gene-wide Mendelian randomization (MR) and colocalization framework to separate susceptibility from effector axes in Graves disease (GD) and TED.</w:t>
      </w:r>
      <w:r>
        <w:t xml:space="preserve"> </w:t>
      </w:r>
      <w:r>
        <w:rPr>
          <w:bCs/>
          <w:b/>
        </w:rPr>
        <w:t xml:space="preserve">Methods:</w:t>
      </w:r>
      <w:r>
        <w:t xml:space="preserve"> </w:t>
      </w:r>
      <w:r>
        <w:t xml:space="preserve">eQTLGen blood</w:t>
      </w:r>
      <w:r>
        <w:t xml:space="preserve"> </w:t>
      </w:r>
      <w:r>
        <w:rPr>
          <w:iCs/>
          <w:i/>
        </w:rPr>
        <w:t xml:space="preserve">cis</w:t>
      </w:r>
      <w:r>
        <w:t xml:space="preserve">-eQTL instruments were used for two-sample MR across 2,544 druggable genes. Outcomes were Biobank Japan (BBJ) Graves disease (discovery), UK Biobank (UKB) hyperthyroidism (replication), and FinnGen R12 Graves ophthalmopathy (TED-enriched sensitivity). Bonferroni-significant hits underwent cross-outcome evaluation and Bayesian colocalization against all three outcomes, with prior sensitivity analysis.</w:t>
      </w:r>
      <w:r>
        <w:t xml:space="preserve"> </w:t>
      </w: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protective MR effects across all three outcomes and strong colocalization in both Graves disease phenotypes (PP.H4=0.951 and 0.986; lead rs179252), but not in the broader hyperthyroidism phenotype, where distinct causal variants were favoured (PP.H3=0.774).</w:t>
      </w:r>
      <w:r>
        <w:t xml:space="preserve"> </w:t>
      </w:r>
      <w:r>
        <w:rPr>
          <w:iCs/>
          <w:i/>
        </w:rPr>
        <w:t xml:space="preserve">IGF1R</w:t>
      </w:r>
      <w:r>
        <w:t xml:space="preserve"> </w:t>
      </w:r>
      <w:r>
        <w:t xml:space="preserve">showed directionally consistent risk-direction MR estimates, reaching nominal significance in BBJ and UKB but not in the smaller FinnGen outcome, and lacked expression colocalization in every outcome (PP.H4=0.073, 0.404, 0.032).</w:t>
      </w:r>
      <w:r>
        <w:t xml:space="preserve"> </w:t>
      </w:r>
      <w:r>
        <w:rPr>
          <w:iCs/>
          <w:i/>
        </w:rPr>
        <w:t xml:space="preserve">CTLA4</w:t>
      </w:r>
      <w:r>
        <w:t xml:space="preserve">, the positive control, colocalized in both European outcomes but not in discovery. No novel candidate satisfied the dual-phenotype colocalization criterion.</w:t>
      </w:r>
      <w:r>
        <w:t xml:space="preserve"> </w:t>
      </w:r>
      <w:r>
        <w:rPr>
          <w:bCs/>
          <w:b/>
        </w:rPr>
        <w:t xml:space="preserve">Conclusion:</w:t>
      </w:r>
      <w:r>
        <w:t xml:space="preserve"> </w:t>
      </w:r>
      <w:r>
        <w:t xml:space="preserve">This framework supports</w:t>
      </w:r>
      <w:r>
        <w:t xml:space="preserve"> </w:t>
      </w:r>
      <w:r>
        <w:rPr>
          <w:iCs/>
          <w:i/>
        </w:rPr>
        <w:t xml:space="preserve">TSHR</w:t>
      </w:r>
      <w:r>
        <w:t xml:space="preserve"> </w:t>
      </w:r>
      <w:r>
        <w:t xml:space="preserve">as an expression-colocalized susceptibility anchor for GD, whereas the</w:t>
      </w:r>
      <w:r>
        <w:t xml:space="preserve"> </w:t>
      </w:r>
      <w:r>
        <w:rPr>
          <w:iCs/>
          <w:i/>
        </w:rPr>
        <w:t xml:space="preserve">IGF1R</w:t>
      </w:r>
      <w:r>
        <w:t xml:space="preserve"> </w:t>
      </w:r>
      <w:r>
        <w:t xml:space="preserve">profile is more compatible with pharmacologic effector biology than with the</w:t>
      </w:r>
      <w:r>
        <w:t xml:space="preserve"> </w:t>
      </w:r>
      <w:r>
        <w:rPr>
          <w:iCs/>
          <w:i/>
        </w:rPr>
        <w:t xml:space="preserve">TSHR</w:t>
      </w:r>
      <w:r>
        <w:t xml:space="preserve">-like expression-colocalized susceptibility architecture, while not excluding a more modest genetic contribution.</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predefined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with colocalization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Candidate-focused analyses have examined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framework; single-outcome designs can elevate locus-specific or linkage-driven signals that do not reproduce across related phenotypes, with TED outcomes often underpowered or treated only as secondary; and genetic association has seldom been integrated with colocalization across multiple related outcomes in a way that separates expression-colocalized susceptibility from non-colocalized effector biology.</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TED-enriched sensitivity outcome. We evaluated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 the autoantigen, the therapeutic target, and a positive-control autoimmune locus — across every outcome.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and colocalization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functional hierarchy: Graves disease from Biobank Japan (BBJ; East Asian; 2,809 cases) served as the primary discovery outcome, hyperthyroidism from UK Biobank (UKB; European; 3,731 cases) as a cross-ancestry, broader-phenotype replication outcome [14], and Graves ophthalmopathy from FinnGen R12 (European; 858 cases) as the TED-enriched sensitivity outcome [15] (Table 1). Because adequately powered TED-specific GWAS are unavailable, this design prioritized discovery in Graves disease, assessed generalizability in a broader hyperthyroidism phenotype, and finally examined signal recovery in a smaller TED-enriched outcome. An in-house orbital RNA-seq dataset (Korean; four TED, one control) provided exploratory tissue-level triangulation and was not used for instrument selection. Three genes were designated a priori as the interpretive backbone on biological and therapeutic grounds rather than on screen results:</w:t>
      </w:r>
      <w:r>
        <w:t xml:space="preserve"> </w:t>
      </w:r>
      <w:r>
        <w:rPr>
          <w:iCs/>
          <w:i/>
        </w:rPr>
        <w:t xml:space="preserve">TSHR</w:t>
      </w:r>
      <w:r>
        <w:t xml:space="preserve"> </w:t>
      </w:r>
      <w:r>
        <w:t xml:space="preserve">(the Graves disease autoantigen),</w:t>
      </w:r>
      <w:r>
        <w:t xml:space="preserve"> </w:t>
      </w:r>
      <w:r>
        <w:rPr>
          <w:iCs/>
          <w:i/>
        </w:rPr>
        <w:t xml:space="preserve">IGF1R</w:t>
      </w:r>
      <w:r>
        <w:t xml:space="preserve"> </w:t>
      </w:r>
      <w:r>
        <w:t xml:space="preserve">(the target of teprotumumab), and</w:t>
      </w:r>
      <w:r>
        <w:t xml:space="preserve"> </w:t>
      </w:r>
      <w:r>
        <w:rPr>
          <w:iCs/>
          <w:i/>
        </w:rPr>
        <w:t xml:space="preserve">CTLA4</w:t>
      </w:r>
      <w:r>
        <w:t xml:space="preserve"> </w:t>
      </w:r>
      <w:r>
        <w:t xml:space="preserve">(a positive-control autoimmune locus). All three were evaluated across both evidence layers — MR and colocalization — against every outcome, irrespective of their discovery</w:t>
      </w:r>
      <w:r>
        <w:t xml:space="preserve"> </w:t>
      </w:r>
      <w:r>
        <w:rPr>
          <w:iCs/>
          <w:i/>
        </w:rPr>
        <w:t xml:space="preserve">P</w:t>
      </w:r>
      <w:r>
        <w:t xml:space="preserve"> </w:t>
      </w:r>
      <w:r>
        <w:t xml:space="preserve">values, with an additional LD-clumping sensitivity assessment at the single-instrument</w:t>
      </w:r>
      <w:r>
        <w:t xml:space="preserve"> </w:t>
      </w:r>
      <w:r>
        <w:rPr>
          <w:iCs/>
          <w:i/>
        </w:rPr>
        <w:t xml:space="preserve">TSHR</w:t>
      </w:r>
      <w:r>
        <w:t xml:space="preserve"> </w:t>
      </w:r>
      <w:r>
        <w:t xml:space="preserve">locus.</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[16];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Because eQTLGen reports Z-scores without allele frequencies, 1000 Genomes Phase 3 European frequencies (n = 503) were used to reconstruct exposure effect sizes [17]. Independent instruments were obtained by LD clumping (</w:t>
      </w:r>
      <w:r>
        <w:rPr>
          <w:iCs/>
          <w:i/>
        </w:rPr>
        <w:t xml:space="preserve">r</w:t>
      </w:r>
      <w:r>
        <w:t xml:space="preserve">² &lt; 0.001, 10-Mb window) using local PLINK v1.9 [18]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(minimum</w:t>
      </w:r>
      <w:r>
        <w:t xml:space="preserve"> </w:t>
      </w:r>
      <w:r>
        <w:rPr>
          <w:iCs/>
          <w:i/>
        </w:rPr>
        <w:t xml:space="preserve">F</w:t>
      </w:r>
      <w:r>
        <w:t xml:space="preserve"> </w:t>
      </w:r>
      <w:r>
        <w:t xml:space="preserve">= 14.2; no weak instruments).</w:t>
      </w:r>
    </w:p>
    <w:p>
      <w:pPr>
        <w:pStyle w:val="BodyText"/>
      </w:pPr>
      <w:r>
        <w:t xml:space="preserve">After clumping, 2,544 of 4,462 genes retained at least one valid instrument and formed the MR-testable denominator (6,135 SNP-level instruments; Table S4), which defined the study-wide significance threshold (Bonferroni</w:t>
      </w:r>
      <w:r>
        <w:t xml:space="preserve"> </w:t>
      </w:r>
      <w:r>
        <w:rPr>
          <w:iCs/>
          <w:i/>
        </w:rPr>
        <w:t xml:space="preserve">P</w:t>
      </w:r>
      <w:r>
        <w:t xml:space="preserve"> </w:t>
      </w:r>
      <w:r>
        <w:t xml:space="preserve">&lt; 1.965×10⁻⁵; 0.05/2,544).</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[19]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[20], weighted median [21], and weighted mode as sensitivity estimators. Directional pleiotropy was assessed using the MR-Egger intercept, between-instrument heterogeneity using Cochran’s Q, and exposure–outcome direction using the Steiger test [22] where estimable (Table S6). Discovery significance was defined at the study-wide Bonferroni threshold (</w:t>
      </w:r>
      <w:r>
        <w:rPr>
          <w:iCs/>
          <w:i/>
        </w:rPr>
        <w:t xml:space="preserve">P</w:t>
      </w:r>
      <w:r>
        <w:t xml:space="preserve"> </w:t>
      </w:r>
      <w:r>
        <w:t xml:space="preserve">&lt; 1.965×10⁻⁵; 0.05/2,544). Replication and TED-enriched support were evaluated using direction-consistent nominal association (</w:t>
      </w:r>
      <w:r>
        <w:rPr>
          <w:iCs/>
          <w:i/>
        </w:rPr>
        <w:t xml:space="preserve">P</w:t>
      </w:r>
      <w:r>
        <w:t xml:space="preserve"> </w:t>
      </w:r>
      <w:r>
        <w:t xml:space="preserve">&lt; 0.05).</w:t>
      </w:r>
    </w:p>
    <w:p>
      <w:pPr>
        <w:pStyle w:val="BodyText"/>
      </w:pPr>
      <w:r>
        <w:t xml:space="preserve">Because a screen that advances no novel target is interpretable only in relation to the effect sizes it could have detected, we quantified the detectable effect range of the screen itself. For each gene and outcome, the minimum effect detectable with 80% power at the applicable significance threshold was computed from the empirical standard error of the primary MR estimate as |β|min = (</w:t>
      </w:r>
      <w:r>
        <w:rPr>
          <w:iCs/>
          <w:i/>
        </w:rPr>
        <w:t xml:space="preserve">z</w:t>
      </w:r>
      <w:r>
        <w:t xml:space="preserve">1−α/2 +</w:t>
      </w:r>
      <w:r>
        <w:t xml:space="preserve"> </w:t>
      </w:r>
      <w:r>
        <w:rPr>
          <w:iCs/>
          <w:i/>
        </w:rPr>
        <w:t xml:space="preserve">z</w:t>
      </w:r>
      <w:r>
        <w:t xml:space="preserve">0.80) × SE, using α = 1.965×10⁻⁵ for the discovery outcome and α = 0.05 for the replication and TED-enriched outcomes. This design-based approach uses the standard errors actually obtained after harmonization rather than reconstructed variance components, and is reported for all genes and for the three backbone loci (Table S8).</w:t>
      </w:r>
    </w:p>
    <w:bookmarkEnd w:id="25"/>
    <w:bookmarkStart w:id="26" w:name="X1edee38d501dca86da97fa75ab43b5991b95eff"/>
    <w:p>
      <w:pPr>
        <w:pStyle w:val="Heading3"/>
      </w:pPr>
      <w:r>
        <w:t xml:space="preserve">Instrument resolution at TSHR and colocalization</w:t>
      </w:r>
    </w:p>
    <w:p>
      <w:pPr>
        <w:pStyle w:val="FirstParagraph"/>
      </w:pPr>
      <w:r>
        <w:t xml:space="preserve">To evaluate whether the single</w:t>
      </w:r>
      <w:r>
        <w:t xml:space="preserve"> </w:t>
      </w:r>
      <w:r>
        <w:rPr>
          <w:iCs/>
          <w:i/>
        </w:rPr>
        <w:t xml:space="preserve">TSHR</w:t>
      </w:r>
      <w:r>
        <w:t xml:space="preserve"> </w:t>
      </w:r>
      <w:r>
        <w:t xml:space="preserve">instrument reflected an independent locus-level signal rather than unresolved allelic heterogeneity, LD clumping at the locus was repeated across a grid of</w:t>
      </w:r>
      <w:r>
        <w:t xml:space="preserve"> </w:t>
      </w:r>
      <w:r>
        <w:rPr>
          <w:iCs/>
          <w:i/>
        </w:rPr>
        <w:t xml:space="preserve">P</w:t>
      </w:r>
      <w:r>
        <w:t xml:space="preserve">-value and</w:t>
      </w:r>
      <w:r>
        <w:t xml:space="preserve"> </w:t>
      </w:r>
      <w:r>
        <w:rPr>
          <w:iCs/>
          <w:i/>
        </w:rPr>
        <w:t xml:space="preserve">r</w:t>
      </w:r>
      <w:r>
        <w:t xml:space="preserve">² thresholds using ancestry-matched 1000 Genomes Phase 3 reference panels (European,</w:t>
      </w:r>
      <w:r>
        <w:t xml:space="preserve"> </w:t>
      </w:r>
      <w:r>
        <w:rPr>
          <w:iCs/>
          <w:i/>
        </w:rPr>
        <w:t xml:space="preserve">n</w:t>
      </w:r>
      <w:r>
        <w:t xml:space="preserve"> </w:t>
      </w:r>
      <w:r>
        <w:t xml:space="preserve">= 503; East Asian,</w:t>
      </w:r>
      <w:r>
        <w:t xml:space="preserve"> </w:t>
      </w:r>
      <w:r>
        <w:rPr>
          <w:iCs/>
          <w:i/>
        </w:rPr>
        <w:t xml:space="preserve">n</w:t>
      </w:r>
      <w:r>
        <w:t xml:space="preserve"> </w:t>
      </w:r>
      <w:r>
        <w:t xml:space="preserve">= 504). At the primary selection threshold (</w:t>
      </w:r>
      <w:r>
        <w:rPr>
          <w:iCs/>
          <w:i/>
        </w:rPr>
        <w:t xml:space="preserve">P</w:t>
      </w:r>
      <w:r>
        <w:t xml:space="preserve"> </w:t>
      </w:r>
      <w:r>
        <w:t xml:space="preserve">&lt; 5×10⁻⁸,</w:t>
      </w:r>
      <w:r>
        <w:t xml:space="preserve"> </w:t>
      </w:r>
      <w:r>
        <w:rPr>
          <w:iCs/>
          <w:i/>
        </w:rPr>
        <w:t xml:space="preserve">r</w:t>
      </w:r>
      <w:r>
        <w:t xml:space="preserve">² &lt; 0.001) the European panel yielded exactly one independent instrument, rs179252, which was retained as the lead variant under every threshold tested; additional variants appeared only as</w:t>
      </w:r>
      <w:r>
        <w:t xml:space="preserve"> </w:t>
      </w:r>
      <w:r>
        <w:rPr>
          <w:iCs/>
          <w:i/>
        </w:rPr>
        <w:t xml:space="preserve">r</w:t>
      </w:r>
      <w:r>
        <w:t xml:space="preserve">² was relaxed and remained in substantial LD with rs179252 (minimum</w:t>
      </w:r>
      <w:r>
        <w:t xml:space="preserve"> </w:t>
      </w:r>
      <w:r>
        <w:rPr>
          <w:iCs/>
          <w:i/>
        </w:rPr>
        <w:t xml:space="preserve">r</w:t>
      </w:r>
      <w:r>
        <w:t xml:space="preserve">² = 0.965 European, 0.808 East Asian).</w:t>
      </w:r>
      <w:r>
        <w:t xml:space="preserve"> </w:t>
      </w:r>
      <w:r>
        <w:rPr>
          <w:iCs/>
          <w:i/>
        </w:rPr>
        <w:t xml:space="preserve">TSHR</w:t>
      </w:r>
      <w:r>
        <w:t xml:space="preserve"> </w:t>
      </w:r>
      <w:r>
        <w:t xml:space="preserve">was therefore retained as a single-instrument, locus-level anchor rather than reconstructed as a multi-instrument exposure (Table S3).</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In this implementation dataset 1 was the outcome GWAS and dataset 2 the</w:t>
      </w:r>
      <w:r>
        <w:t xml:space="preserve"> </w:t>
      </w:r>
      <w:r>
        <w:rPr>
          <w:iCs/>
          <w:i/>
        </w:rPr>
        <w:t xml:space="preserve">cis</w:t>
      </w:r>
      <w:r>
        <w:t xml:space="preserve">-eQTL, so the posterior probabilities distinguish association with the outcome only (H1), with the</w:t>
      </w:r>
      <w:r>
        <w:t xml:space="preserve"> </w:t>
      </w:r>
      <w:r>
        <w:rPr>
          <w:iCs/>
          <w:i/>
        </w:rPr>
        <w:t xml:space="preserve">cis</w:t>
      </w:r>
      <w:r>
        <w:t xml:space="preserve">-eQTL only (H2), with both traits at distinct causal variants (H3), and with both traits at a shared causal variant (H4). Strong colocalization was defined as PP.H4 ≥ 0.80 and evaluated separately against the discovery and TED-enriched outcomes (Table S2;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by summing raw counts, and gene-level differential expression was estimated with DESeq2 [24] with Benjamini–Hochberg correction computed across genes. This study reports only the three backbone genes (</w:t>
      </w:r>
      <w:r>
        <w:rPr>
          <w:iCs/>
          <w:i/>
        </w:rPr>
        <w:t xml:space="preserve">TSHR</w:t>
      </w:r>
      <w:r>
        <w:t xml:space="preserve">,</w:t>
      </w:r>
      <w:r>
        <w:t xml:space="preserve"> </w:t>
      </w:r>
      <w:r>
        <w:rPr>
          <w:iCs/>
          <w:i/>
        </w:rPr>
        <w:t xml:space="preserve">IGF1R</w:t>
      </w:r>
      <w:r>
        <w:t xml:space="preserve">,</w:t>
      </w:r>
      <w:r>
        <w:t xml:space="preserve"> </w:t>
      </w:r>
      <w:r>
        <w:rPr>
          <w:iCs/>
          <w:i/>
        </w:rPr>
        <w:t xml:space="preserve">CTLA4</w:t>
      </w:r>
      <w:r>
        <w:t xml:space="preserve">) for hypothesis-driven tissue triangulation (Figure 3C; Table 2); no genome-wide transcriptomic catalogue, differential-expression list, or pathway-enrichment result is presented here. The dataset was used solely for exploratory tissue-level support of the genetically prioritized backbone genes, not for genetic instrument selection, and no external transcriptomic dataset was incorporated.</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coloc (v5.2.3), and DESeq2 (v1.42.1);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The attrition of the screen and the resulting contrast between the two backbone receptors are summarized in</w:t>
      </w:r>
      <w:r>
        <w:t xml:space="preserve"> </w:t>
      </w:r>
      <w:r>
        <w:rPr>
          <w:bCs/>
          <w:b/>
        </w:rPr>
        <w:t xml:space="preserve">Figure 1</w:t>
      </w:r>
      <w:r>
        <w:t xml:space="preserve">. The analysis followed the prespecified outcome hierarchy of BBJ Graves disease (discovery), UKB hyperthyroidism (replication), and FinnGen R12 Graves ophthalmopathy (TED-enriched sensitivity), with data sources in</w:t>
      </w:r>
      <w:r>
        <w:t xml:space="preserve"> </w:t>
      </w:r>
      <w:r>
        <w:rPr>
          <w:bCs/>
          <w:b/>
        </w:rPr>
        <w:t xml:space="preserve">Table 1</w:t>
      </w:r>
      <w:r>
        <w:t xml:space="preserve">.</w:t>
      </w:r>
    </w:p>
    <w:p>
      <w:pPr>
        <w:pStyle w:val="BodyText"/>
      </w:pPr>
      <w:r>
        <w:t xml:space="preserve">Of 4,462 druggable genes, 2,544 had at least one valid</w:t>
      </w:r>
      <w:r>
        <w:t xml:space="preserve"> </w:t>
      </w:r>
      <w:r>
        <w:rPr>
          <w:iCs/>
          <w:i/>
        </w:rPr>
        <w:t xml:space="preserve">cis</w:t>
      </w:r>
      <w:r>
        <w:t xml:space="preserve">-eQTL instrument in eQTLGen and formed the MR-testable denominator; across these genes, 6,135 SNP-level instruments were retained, all exceeding conventional instrument-strength criteria (minimum F-statistic = 29.7, the value implied by the</w:t>
      </w:r>
      <w:r>
        <w:t xml:space="preserve"> </w:t>
      </w:r>
      <w:r>
        <w:rPr>
          <w:iCs/>
          <w:i/>
        </w:rPr>
        <w:t xml:space="preserve">P</w:t>
      </w:r>
      <w:r>
        <w:t xml:space="preserve"> </w:t>
      </w:r>
      <w:r>
        <w:t xml:space="preserve">&lt; 5×10⁻⁸ selection threshold;</w:t>
      </w:r>
      <w:r>
        <w:t xml:space="preserve"> </w:t>
      </w:r>
      <w:r>
        <w:rPr>
          <w:bCs/>
          <w:b/>
        </w:rPr>
        <w:t xml:space="preserve">Table S4</w:t>
      </w:r>
      <w:r>
        <w:t xml:space="preserve">). Primary MR estimates against the BBJ Graves disease discovery outcome were obtainable for 2,234 genes.</w:t>
      </w:r>
    </w:p>
    <w:p>
      <w:pPr>
        <w:pStyle w:val="BodyText"/>
      </w:pPr>
      <w:r>
        <w:t xml:space="preserve">Applying a Bonferroni threshold corrected for the MR-testable denominator (</w:t>
      </w:r>
      <w:r>
        <w:rPr>
          <w:iCs/>
          <w:i/>
        </w:rPr>
        <w:t xml:space="preserve">P</w:t>
      </w:r>
      <w:r>
        <w:t xml:space="preserve"> </w:t>
      </w:r>
      <w:r>
        <w:t xml:space="preserve">&lt; 1.965×10⁻⁵; 0.05/2,544),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TED-enriched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TED-enriched outcome (PP.H4 = 0.019 for both), where the posterior instead favored an eQTL-only pattern (PP.H2 = 0.63 and 0.64): the</w:t>
      </w:r>
      <w:r>
        <w:t xml:space="preserve"> </w:t>
      </w:r>
      <w:r>
        <w:rPr>
          <w:iCs/>
          <w:i/>
        </w:rPr>
        <w:t xml:space="preserve">cis</w:t>
      </w:r>
      <w:r>
        <w:t xml:space="preserve">-eQTL signal was present, but no association with the TED outcome was detectable at these loci.</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TED-enriched outcome, where they too showed an eQTL-only pattern (PP.H2 = 0.73–0.74).</w:t>
      </w:r>
    </w:p>
    <w:p>
      <w:pPr>
        <w:pStyle w:val="BodyText"/>
      </w:pPr>
      <w:r>
        <w:t xml:space="preserve">Overall, no non-known candidate showed strong colocalization in both BBJ Graves disease and the TED-enriched outcome. Thus, after cross-outcome colocalization filtering, no novel candidate satisfied the dual-phenotype criterion. This filtering result was retained as part of the final interpretation because it prevented overinterpretation of single-outcome or LD-driven discovery signals and strengthened the focus on the three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p>
      <w:pPr>
        <w:pStyle w:val="BodyText"/>
      </w:pPr>
      <w:r>
        <w:t xml:space="preserve">The detectable range of the screen defines what this null does and does not exclude (</w:t>
      </w:r>
      <w:r>
        <w:rPr>
          <w:bCs/>
          <w:b/>
        </w:rPr>
        <w:t xml:space="preserve">Table S8</w:t>
      </w:r>
      <w:r>
        <w:t xml:space="preserve">). At the study-wide discovery threshold and 80% power, the median gene was powered to detect an odds ratio of approximately 2.55 per unit genetically proxied expression (interquartile range 1.71–5.19); 35.6% of genes were powered for OR ≥ 2.0 and 14.6% for OR ≥ 1.5. In the TED-enriched outcome at nominal significance, the corresponding median detectable OR was approximately 2.12. The screen was therefore well powered for large expression-mediated effects — consistent with its recovery of</w:t>
      </w:r>
      <w:r>
        <w:t xml:space="preserve"> </w:t>
      </w:r>
      <w:r>
        <w:rPr>
          <w:iCs/>
          <w:i/>
        </w:rPr>
        <w:t xml:space="preserve">TSHR</w:t>
      </w:r>
      <w:r>
        <w:t xml:space="preserve"> </w:t>
      </w:r>
      <w:r>
        <w:t xml:space="preserve">(β = −2.10) and</w:t>
      </w:r>
      <w:r>
        <w:t xml:space="preserve"> </w:t>
      </w:r>
      <w:r>
        <w:rPr>
          <w:iCs/>
          <w:i/>
        </w:rPr>
        <w:t xml:space="preserve">CTLA4</w:t>
      </w:r>
      <w:r>
        <w:t xml:space="preserve"> </w:t>
      </w:r>
      <w:r>
        <w:t xml:space="preserve">(β = −1.74), both of which exceeded their gene-specific detection thresholds — but not for modest effects. The absence of a qualifying novel candidate should accordingly be read as constraining additional large, expression-colocalized druggable effects, particularly among well-powered genes, rather than as excluding moderate ones, which larger GD- and TED-specific GWAS will be required to resolve.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between the MR and colocalization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TED-enriched outcome (β = −2.33,</w:t>
      </w:r>
      <w:r>
        <w:t xml:space="preserve"> </w:t>
      </w:r>
      <w:r>
        <w:rPr>
          <w:iCs/>
          <w:i/>
        </w:rPr>
        <w:t xml:space="preserve">P</w:t>
      </w:r>
      <w:r>
        <w:t xml:space="preserve"> </w:t>
      </w:r>
      <w:r>
        <w:t xml:space="preserve">= 2.8×10⁻⁷). The consistency of direction and approximate magnitude across the independently ascertained Graves disease and hyperthyroidism outcomes argues against an outcome-specific artifact (Figure 3B). The concordant estimate in the TED-enriched outcome is interpreted more conservatively, because Graves ophthalmopathy cases are ascertained among patients with Graves disease and compared with population controls, so that outcome substantially re-measures shared Graves disease susceptibility rather than liability specific to orbital involvement (see Limitations).</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the Graves disease discovery outcome and in the TED-enriched outcome (PP.H4 = 0.951 and 0.986; rs179252 the lead variant in both; Figure 3A), but not in the broader UKB hyperthyroidism phenotype, where the posterior instead favoured distinct causal variants (PP.H3 = 0.774; PP.H4 = 0.226; lead variant rs1023586). This discordance is not attributable to limited power: UKB carried the strongest locus-wide association of the three outcomes (minimum</w:t>
      </w:r>
      <w:r>
        <w:t xml:space="preserve"> </w:t>
      </w:r>
      <w:r>
        <w:rPr>
          <w:iCs/>
          <w:i/>
        </w:rPr>
        <w:t xml:space="preserve">P</w:t>
      </w:r>
      <w:r>
        <w:t xml:space="preserve"> </w:t>
      </w:r>
      <w:r>
        <w:t xml:space="preserve">= 1.4×10⁻⁴³) and the largest set of overlapping variants. We therefore report</w:t>
      </w:r>
      <w:r>
        <w:t xml:space="preserve"> </w:t>
      </w:r>
      <w:r>
        <w:rPr>
          <w:iCs/>
          <w:i/>
        </w:rPr>
        <w:t xml:space="preserve">TSHR</w:t>
      </w:r>
      <w:r>
        <w:t xml:space="preserve"> </w:t>
      </w:r>
      <w:r>
        <w:t xml:space="preserve">colocalization as specific to the two Graves disease phenotypes rather than as a property of thyroid autoimmunity in general (Table 2).</w:t>
      </w:r>
    </w:p>
    <w:p>
      <w:pPr>
        <w:pStyle w:val="BodyText"/>
      </w:pPr>
      <w:r>
        <w:t xml:space="preserve">In the in-house orbital dataset,</w:t>
      </w:r>
      <w:r>
        <w:t xml:space="preserve"> </w:t>
      </w:r>
      <w:r>
        <w:rPr>
          <w:iCs/>
          <w:i/>
        </w:rPr>
        <w:t xml:space="preserve">TSHR</w:t>
      </w:r>
      <w:r>
        <w:t xml:space="preserve"> </w:t>
      </w:r>
      <w:r>
        <w:t xml:space="preserve">transcript abundance was higher in the four TED samples than in the single control (log2 fold-change = +2.33; Figure S1). With one control, this dataset cannot support differential-expression inference; it is reported as a descriptive observation and no statistical claim is drawn from it. Together, the genetic results position</w:t>
      </w:r>
      <w:r>
        <w:t xml:space="preserve"> </w:t>
      </w:r>
      <w:r>
        <w:rPr>
          <w:iCs/>
          <w:i/>
        </w:rPr>
        <w:t xml:space="preserve">TSHR</w:t>
      </w:r>
      <w:r>
        <w:t xml:space="preserve"> </w:t>
      </w:r>
      <w:r>
        <w:t xml:space="preserve">as an expression-colocalized upstream susceptibility anchor for Graves disease whose signal is also recovered in a TED-enriched Graves ophthalmopathy outcome, although a TED-specific effect separable from Graves disease liability is not established by these data. The apparent contrast between the protective-direction germline MR estimate and higher orbital</w:t>
      </w:r>
      <w:r>
        <w:t xml:space="preserve"> </w:t>
      </w:r>
      <w:r>
        <w:rPr>
          <w:iCs/>
          <w:i/>
        </w:rPr>
        <w:t xml:space="preserve">TSHR</w:t>
      </w:r>
      <w:r>
        <w:t xml:space="preserve"> </w:t>
      </w:r>
      <w:r>
        <w:t xml:space="preserve">abundance in disease-state tissue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TED-enriched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 The magnitude of this effect lay below the gene-specific detection threshold of the discovery screen (minimum effect detectable with 80% power at the study-wide threshold, |β| = 0.99 for</w:t>
      </w:r>
      <w:r>
        <w:t xml:space="preserve"> </w:t>
      </w:r>
      <w:r>
        <w:rPr>
          <w:iCs/>
          <w:i/>
        </w:rPr>
        <w:t xml:space="preserve">IGF1R</w:t>
      </w:r>
      <w:r>
        <w:t xml:space="preserve">; Table S8), so its failure to reach study-wide significance is expected for an effect of this size and does not by itself constitute evidence against a genetic contribution. This is one reason</w:t>
      </w:r>
      <w:r>
        <w:t xml:space="preserve"> </w:t>
      </w:r>
      <w:r>
        <w:rPr>
          <w:iCs/>
          <w:i/>
        </w:rPr>
        <w:t xml:space="preserve">IGF1R</w:t>
      </w:r>
      <w:r>
        <w:t xml:space="preserve"> </w:t>
      </w:r>
      <w:r>
        <w:t xml:space="preserve">was carried forward as a backbone gene evaluated across multiple evidence layers rather than judged on discovery significance alone.</w:t>
      </w:r>
    </w:p>
    <w:p>
      <w:pPr>
        <w:pStyle w:val="BodyText"/>
      </w:pPr>
      <w:r>
        <w:t xml:space="preserve">Critically, this nominal MR signal was not accompanied by expression colocalization in any outcome. At the</w:t>
      </w:r>
      <w:r>
        <w:t xml:space="preserve"> </w:t>
      </w:r>
      <w:r>
        <w:rPr>
          <w:iCs/>
          <w:i/>
        </w:rPr>
        <w:t xml:space="preserve">IGF1R</w:t>
      </w:r>
      <w:r>
        <w:t xml:space="preserve"> </w:t>
      </w:r>
      <w:r>
        <w:t xml:space="preserve">locus the posterior never approached the shared-variant threshold — PP.H4 = 0.073 (discovery), 0.404 (replication) and 0.032 (TED-enriched) — with an eQTL-only pattern dominating in the two Graves disease phenotypes (PP.H2 = 0.69 and 0.62; Figure 3A). The locus therefore carries a well-defined</w:t>
      </w:r>
      <w:r>
        <w:t xml:space="preserve"> </w:t>
      </w:r>
      <w:r>
        <w:rPr>
          <w:iCs/>
          <w:i/>
        </w:rPr>
        <w:t xml:space="preserve">cis</w:t>
      </w:r>
      <w:r>
        <w:t xml:space="preserve">-eQTL whose signal does not resolve to a variant shared with disease association, in contrast to</w:t>
      </w:r>
      <w:r>
        <w:t xml:space="preserve"> </w:t>
      </w:r>
      <w:r>
        <w:rPr>
          <w:iCs/>
          <w:i/>
        </w:rPr>
        <w:t xml:space="preserve">TSHR</w:t>
      </w:r>
      <w:r>
        <w:t xml:space="preserve">. In orbital tissue,</w:t>
      </w:r>
      <w:r>
        <w:t xml:space="preserve"> </w:t>
      </w:r>
      <w:r>
        <w:rPr>
          <w:iCs/>
          <w:i/>
        </w:rPr>
        <w:t xml:space="preserve">IGF1R</w:t>
      </w:r>
      <w:r>
        <w:t xml:space="preserve"> </w:t>
      </w:r>
      <w:r>
        <w:t xml:space="preserve">abundance differed little between the TED samples and the control (log2 fold-change = +0.41).</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[25],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TED-enriched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ancestry-dependent: the posterior supported a shared causal variant in both European outcomes (UKB PP.H4 = 0.953, lead rs3087243; TED-enriched PP.H4 = 0.978, lead rs1863800) but favoured distinct causal variants in the East Asian discovery outcome (PP.H3 = 0.80; Figure 3A). Together with between-instrument heterogeneity in the replication analysis (Table S6), this pattern is consistent with cross-ancestry locus complexity at</w:t>
      </w:r>
      <w:r>
        <w:t xml:space="preserve"> </w:t>
      </w:r>
      <w:r>
        <w:rPr>
          <w:iCs/>
          <w:i/>
        </w:rPr>
        <w:t xml:space="preserve">CTLA4</w:t>
      </w:r>
      <w:r>
        <w:t xml:space="preserve">. Recovery of the positive control in two of three outcomes indicates that the combined MR-plus-colocalization filter can detect a known autoimmune locus, while its failure in the discovery arm shows that detection is ancestry-dependent. In orbital tissue,</w:t>
      </w:r>
      <w:r>
        <w:t xml:space="preserve"> </w:t>
      </w:r>
      <w:r>
        <w:rPr>
          <w:iCs/>
          <w:i/>
        </w:rPr>
        <w:t xml:space="preserve">CTLA4</w:t>
      </w:r>
      <w:r>
        <w:t xml:space="preserve"> </w:t>
      </w:r>
      <w:r>
        <w:t xml:space="preserve">abundance differed little between the TED samples and the control (log2 fold-change = +1.27).</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We set out to distinguish genetically anchored susceptibility from pharmacologic effector biology in Graves disease (GD) and thyroid eye disease (TED). Two contrasting evidence profiles emerged.</w:t>
      </w:r>
      <w:r>
        <w:t xml:space="preserve"> </w:t>
      </w:r>
      <w:r>
        <w:rPr>
          <w:iCs/>
          <w:i/>
        </w:rPr>
        <w:t xml:space="preserve">TSHR</w:t>
      </w:r>
      <w:r>
        <w:t xml:space="preserve">, the canonical thyroid autoantigen, showed convergent support across MR and expression colocalization in both Graves disease phenotypes, supporting its role as an expression-colocalized susceptibility anchor.</w:t>
      </w:r>
      <w:r>
        <w:t xml:space="preserve"> </w:t>
      </w:r>
      <w:r>
        <w:rPr>
          <w:iCs/>
          <w:i/>
        </w:rPr>
        <w:t xml:space="preserve">IGF1R</w:t>
      </w:r>
      <w:r>
        <w:t xml:space="preserve">, the target of teprotumumab, showed directionally consistent MR evidence that reached nominal significance in discovery and replication but lacked expression colocalization in every outcome — a profile more compatible with pharmacologic effector biology than with expression-colocalized susceptibility. Across 2,544 MR-testable druggable genes, no novel candidate satisfied our dual-phenotype colocalization criterion, so the principal contribution of this work is not target discovery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a genetic association alone would therefore add little to the literature. The contribution of the present framework is not the rediscovery of</w:t>
      </w:r>
      <w:r>
        <w:t xml:space="preserve"> </w:t>
      </w:r>
      <w:r>
        <w:rPr>
          <w:iCs/>
          <w:i/>
        </w:rPr>
        <w:t xml:space="preserve">TSHR</w:t>
      </w:r>
      <w:r>
        <w:t xml:space="preserve"> </w:t>
      </w:r>
      <w:r>
        <w:t xml:space="preserve">but its resolution into a coherent expression-colocalized anchor: consistent protective-direction estimates across all three outcomes, and a shared causal variant with disease association at rs179252 in both Graves disease phenotypes. That resolution is phenotype-specific rather than universal — the broader hyperthyroidism outcome favours a distinct causal variant — which is itself informative, and it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and indexing lifelong genetic liability, whereas the orbital finding reflects local disease-state expression in already-affected tissue, where</w:t>
      </w:r>
      <w:r>
        <w:t xml:space="preserve"> </w:t>
      </w:r>
      <w:r>
        <w:rPr>
          <w:iCs/>
          <w:i/>
        </w:rPr>
        <w:t xml:space="preserve">TSHR</w:t>
      </w:r>
      <w:r>
        <w:t xml:space="preserve"> </w:t>
      </w:r>
      <w:r>
        <w:t xml:space="preserve">upregulation may reflect orbital remodeling, inflammatory activation, or cellular-state shifts within the TED microenvironment. Because genetic regulatory effects on gene expression are frequently tissue-specific and shaped by local cell-type composition [26],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eQTL-only pattern rather than a shared causal variant—and</w:t>
      </w:r>
      <w:r>
        <w:t xml:space="preserve"> </w:t>
      </w:r>
      <w:r>
        <w:rPr>
          <w:iCs/>
          <w:i/>
        </w:rPr>
        <w:t xml:space="preserve">IGF1R</w:t>
      </w:r>
      <w:r>
        <w:t xml:space="preserve"> </w:t>
      </w:r>
      <w:r>
        <w:t xml:space="preserve">was not significantly differentially expressed in orbital tissue. Importantly, the absence of expression colocalization is not evidence against the biological or therapeutic relevance of IGF-1R: colocalization tests a specific hypothesis—that a single shared causal variant links</w:t>
      </w:r>
      <w:r>
        <w:t xml:space="preserve"> </w:t>
      </w:r>
      <w:r>
        <w:rPr>
          <w:iCs/>
          <w:i/>
        </w:rPr>
        <w:t xml:space="preserve">cis</w:t>
      </w:r>
      <w:r>
        <w:t xml:space="preserve">-regulated expression to disease liability—and a gene can be a mechanistically and therapeutically important effector without satisfying it, particularly where its disease relevance is mediated through receptor signaling or protein–protein interaction rather than through germline expression-level regulation. We therefore read the</w:t>
      </w:r>
      <w:r>
        <w:t xml:space="preserve"> </w:t>
      </w:r>
      <w:r>
        <w:rPr>
          <w:iCs/>
          <w:i/>
        </w:rPr>
        <w:t xml:space="preserve">IGF1R</w:t>
      </w:r>
      <w:r>
        <w:t xml:space="preserve"> </w:t>
      </w:r>
      <w:r>
        <w:t xml:space="preserve">profile as more compatible with pharmacologic effector biology than with a primary expression-colocalized susceptibility anchor, an interpretation these data support indirectly rather than establish. This interpretation is compatible with the clinical efficacy of teprotumumab [3], which targets IGF-1R signaling: an effective therapeutic target need not be a primary genetic determinant of disease.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consistent with the observation that human genetic support for a target increases the likelihood of success in drug development even though not every effective target is a primary susceptibility locus [27]. That principle is already established; this study contributes a worked demonstration within a single disease area, resolving the anchor and the candidate effector side by side under the same outcome hierarchy, analytic framework, and filters. Our findings do not test whether targeting an upstream anchor would offer clinical advantages over established effector-directed therapy.</w:t>
      </w:r>
    </w:p>
    <w:p>
      <w:pPr>
        <w:pStyle w:val="BodyText"/>
      </w:pPr>
      <w:r>
        <w:t xml:space="preserve">A systematic screen of 2,544 MR-testable druggable genes advanced no novel candidate satisfying the dual-phenotype colocalization criterion,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TED-enriched outcome, while the chromosome 16p11.2 candidates showed only weak or ambiguous colocalization within a narrow linkage-disequilibrium window.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the outcome hierarchy was prespecified, so interpretation rested on cross-outcome consistency rather than any single dataset; prioritization required both direction-consistent cross-outcome association and Bayesian colocalization [8] before a non-known signal was advanced as robust; the positive-control locus</w:t>
      </w:r>
      <w:r>
        <w:t xml:space="preserve"> </w:t>
      </w:r>
      <w:r>
        <w:rPr>
          <w:iCs/>
          <w:i/>
        </w:rPr>
        <w:t xml:space="preserve">CTLA4</w:t>
      </w:r>
      <w:r>
        <w:t xml:space="preserve"> </w:t>
      </w:r>
      <w:r>
        <w:t xml:space="preserve">[25] was recovered as a strong direction-consistent signal, indicating sensitivity to known autoimmune biology; and</w:t>
      </w:r>
      <w:r>
        <w:t xml:space="preserve"> </w:t>
      </w:r>
      <w:r>
        <w:rPr>
          <w:iCs/>
          <w:i/>
        </w:rPr>
        <w:t xml:space="preserve">TSHR</w:t>
      </w:r>
      <w:r>
        <w:t xml:space="preserve"> </w:t>
      </w:r>
      <w:r>
        <w:t xml:space="preserve">instrument selection was tested across a grid of LD-clumping thresholds rather than accepted at face value, with rs179252 retained as the single independent instrument under every threshold.</w:t>
      </w:r>
    </w:p>
    <w:p>
      <w:pPr>
        <w:pStyle w:val="BodyText"/>
      </w:pPr>
      <w:r>
        <w:t xml:space="preserve">This study has several limitations. First, the instruments were blood</w:t>
      </w:r>
      <w:r>
        <w:t xml:space="preserve"> </w:t>
      </w:r>
      <w:r>
        <w:rPr>
          <w:iCs/>
          <w:i/>
        </w:rPr>
        <w:t xml:space="preserve">cis</w:t>
      </w:r>
      <w:r>
        <w:t xml:space="preserve">-eQTLs [12], which capture blood</w:t>
      </w:r>
      <w:r>
        <w:t xml:space="preserve"> </w:t>
      </w:r>
      <w:r>
        <w:rPr>
          <w:iCs/>
          <w:i/>
        </w:rPr>
        <w:t xml:space="preserve">cis</w:t>
      </w:r>
      <w:r>
        <w:t xml:space="preserve">-regulatory variation rather than local expression in orbital or thyroid tissue, and genetic regulatory effects differ substantially across tissues [26]. Second, the eQTL data were predominantly European whereas the discovery outcome was East Asian [13]; concordant effects provide a form of cross-ancestry assessment, but allele-frequency and linkage-disequilibrium differences may attenuate or bias instrument performance, and exposure allele frequencies were approximated from a European reference panel.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LD clumping across a threshold grid supported this as a locus-level anchor (Table S3), but single-instrument analyses preclude formal pleiotropy diagnostics such as the MR-Egger intercept, and colocalization cannot exclude that the shared variant acts through a neighbouring gene rather than through</w:t>
      </w:r>
      <w:r>
        <w:t xml:space="preserve"> </w:t>
      </w:r>
      <w:r>
        <w:rPr>
          <w:iCs/>
          <w:i/>
        </w:rPr>
        <w:t xml:space="preserve">TSHR</w:t>
      </w:r>
      <w:r>
        <w:t xml:space="preserve"> </w:t>
      </w:r>
      <w:r>
        <w:t xml:space="preserve">expression itself. Fifth, the TED-enriched outcome was the smallest (858 cases), limiting power for colocalization and restricting the detectable effect range (Table S8); the eQTL-only posterior pattern seen for candidate loci in that outcome is therefore consistent with insufficient power to detect an outcome association and should not be read as positive evidence for distinct causal architecture. Sixth, and more fundamentally, that outcome ascertains Graves ophthalmopathy cases among individuals with Graves disease and compares them with population controls, so its associations substantially reflect shared Graves disease susceptibility rather than liability specific to orbital involvement; consistency of the</w:t>
      </w:r>
      <w:r>
        <w:t xml:space="preserve"> </w:t>
      </w:r>
      <w:r>
        <w:rPr>
          <w:iCs/>
          <w:i/>
        </w:rPr>
        <w:t xml:space="preserve">TSHR</w:t>
      </w:r>
      <w:r>
        <w:t xml:space="preserve"> </w:t>
      </w:r>
      <w:r>
        <w:t xml:space="preserve">estimate there should be read as reproducibility of the underlying Graves disease signal, not as evidence of a TED-specific causal effect. Separating the two would require a within-Graves contrast of patients with and without orbitopathy, which currently available GWAS do not provide at adequate power. Seventh, coloc.abf was applied under the single-causal-variant assumption without a multi-causal-variant extension, and no formal colocalization power analysis was performed. Posteriors were also sensitive to the prior: at p12 = 10⁻⁶ the</w:t>
      </w:r>
      <w:r>
        <w:t xml:space="preserve"> </w:t>
      </w:r>
      <w:r>
        <w:rPr>
          <w:iCs/>
          <w:i/>
        </w:rPr>
        <w:t xml:space="preserve">TSHR</w:t>
      </w:r>
      <w:r>
        <w:t xml:space="preserve"> </w:t>
      </w:r>
      <w:r>
        <w:t xml:space="preserve">discovery posterior fell to 0.661 and the</w:t>
      </w:r>
      <w:r>
        <w:t xml:space="preserve"> </w:t>
      </w:r>
      <w:r>
        <w:rPr>
          <w:iCs/>
          <w:i/>
        </w:rPr>
        <w:t xml:space="preserve">CTLA4</w:t>
      </w:r>
      <w:r>
        <w:t xml:space="preserve"> </w:t>
      </w:r>
      <w:r>
        <w:t xml:space="preserve">replication posterior to 0.672, so both cross the conventional 0.80 threshold under a more conservative prior, whereas the TED-enriched</w:t>
      </w:r>
      <w:r>
        <w:t xml:space="preserve"> </w:t>
      </w:r>
      <w:r>
        <w:rPr>
          <w:iCs/>
          <w:i/>
        </w:rPr>
        <w:t xml:space="preserve">TSHR</w:t>
      </w:r>
      <w:r>
        <w:t xml:space="preserve"> </w:t>
      </w:r>
      <w:r>
        <w:t xml:space="preserve">posterior remained above it (0.875). Eighth, the framework included a single positive control, and its behaviour was ancestry-dependent:</w:t>
      </w:r>
      <w:r>
        <w:t xml:space="preserve"> </w:t>
      </w:r>
      <w:r>
        <w:rPr>
          <w:iCs/>
          <w:i/>
        </w:rPr>
        <w:t xml:space="preserve">CTLA4</w:t>
      </w:r>
      <w:r>
        <w:t xml:space="preserve"> </w:t>
      </w:r>
      <w:r>
        <w:t xml:space="preserve">colocalized in both European outcomes (PP.H4 = 0.953 and 0.978) but not in the East Asian discovery arm (PP.H3 = 0.80). The sensitivity of the combined MR-plus-colocalization filter is therefore demonstrated but not fully characterized by one control locus. Finally, the in-house orbital dataset comprises four TED samples and a single control. It cannot support differential-expression inference, was not externally replicated, and is reported here as a descriptive observation only; it is not used as an evidence layer, and no conclusion in this study depends on it. These constraints should be considered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rests on MR and colocalization across three independent outcomes.</w:t>
      </w:r>
    </w:p>
    <w:p>
      <w:pPr>
        <w:pStyle w:val="BodyText"/>
      </w:pPr>
      <w:r>
        <w:t xml:space="preserve">In this druggable-gene-wide Mendelian randomization, colocalization, and exploratory orbital tissue framework,</w:t>
      </w:r>
      <w:r>
        <w:t xml:space="preserve"> </w:t>
      </w:r>
      <w:r>
        <w:rPr>
          <w:iCs/>
          <w:i/>
        </w:rPr>
        <w:t xml:space="preserve">TSHR</w:t>
      </w:r>
      <w:r>
        <w:t xml:space="preserve"> </w:t>
      </w:r>
      <w:r>
        <w:t xml:space="preserve">emerged as an expression-colocalized susceptibility anchor for GD — supported by consistent cross-outcome genetic effects and shared-variant colocalization at rs179252 — with its signal also recovered in a TED-enriched Graves ophthalmopathy outcome.</w:t>
      </w:r>
      <w:r>
        <w:t xml:space="preserve"> </w:t>
      </w:r>
      <w:r>
        <w:rPr>
          <w:iCs/>
          <w:i/>
        </w:rPr>
        <w:t xml:space="preserve">IGF1R</w:t>
      </w:r>
      <w:r>
        <w:t xml:space="preserve"> </w:t>
      </w:r>
      <w:r>
        <w:t xml:space="preserve">showed directionally consistent risk-direction estimates, nominally significant in BBJ and UKB but not FinnGen, without evidence of expression colocalization or a significant orbital tissue association. This profile is more compatible with pharmacologic effector biology than with the</w:t>
      </w:r>
      <w:r>
        <w:t xml:space="preserve"> </w:t>
      </w:r>
      <w:r>
        <w:rPr>
          <w:iCs/>
          <w:i/>
        </w:rPr>
        <w:t xml:space="preserve">TSHR</w:t>
      </w:r>
      <w:r>
        <w:t xml:space="preserve">-like expression-colocalized susceptibility architecture, although it does not establish</w:t>
      </w:r>
      <w:r>
        <w:t xml:space="preserve"> </w:t>
      </w:r>
      <w:r>
        <w:rPr>
          <w:iCs/>
          <w:i/>
        </w:rPr>
        <w:t xml:space="preserve">IGF1R</w:t>
      </w:r>
      <w:r>
        <w:t xml:space="preserve"> </w:t>
      </w:r>
      <w:r>
        <w:t xml:space="preserve">as an effector axis or exclude a modest genetic contribution. No novel druggable candidate satisfied the dual-phenotype colocalization criterion.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Dönertaş HM, Fabian DK, Valenzuela MF, et al (2021) Common genetic associations between age-related diseases. Nat Aging 1:400–412</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Love MI, Huber W, Anders S (2014) Moderated estimation of fold change and dispersion for RNA-seq data with DESeq2. Genome Biol 15:550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What survives the screen, and where</w:t>
      </w:r>
      <w:r>
        <w:rPr>
          <w:bCs/>
          <w:b/>
        </w:rPr>
        <w:t xml:space="preserve"> </w:t>
      </w:r>
      <w:r>
        <w:rPr>
          <w:iCs/>
          <w:i/>
          <w:bCs/>
          <w:b/>
        </w:rPr>
        <w:t xml:space="preserve">TSHR</w:t>
      </w:r>
      <w:r>
        <w:rPr>
          <w:bCs/>
          <w:b/>
        </w:rPr>
        <w:t xml:space="preserve"> </w:t>
      </w:r>
      <w:r>
        <w:rPr>
          <w:bCs/>
          <w:b/>
        </w:rPr>
        <w:t xml:space="preserve">and</w:t>
      </w:r>
      <w:r>
        <w:rPr>
          <w:bCs/>
          <w:b/>
        </w:rPr>
        <w:t xml:space="preserve"> </w:t>
      </w:r>
      <w:r>
        <w:rPr>
          <w:iCs/>
          <w:i/>
          <w:bCs/>
          <w:b/>
        </w:rPr>
        <w:t xml:space="preserve">IGF1R</w:t>
      </w:r>
      <w:r>
        <w:rPr>
          <w:bCs/>
          <w:b/>
        </w:rPr>
        <w:t xml:space="preserve"> </w:t>
      </w:r>
      <w:r>
        <w:rPr>
          <w:bCs/>
          <w:b/>
        </w:rPr>
        <w:t xml:space="preserve">diverge.</w:t>
      </w:r>
      <w:r>
        <w:t xml:space="preserve"> </w:t>
      </w:r>
      <w:r>
        <w:rPr>
          <w:bCs/>
          <w:b/>
        </w:rPr>
        <w:t xml:space="preserve">(A)</w:t>
      </w:r>
      <w:r>
        <w:t xml:space="preserve"> </w:t>
      </w:r>
      <w:r>
        <w:t xml:space="preserve">Attrition through the druggable-gene-wide screen, labelled by the reason genes were removed. Of 4,462 druggable genes [16], 2,544 carried a valid eQTLGen</w:t>
      </w:r>
      <w:r>
        <w:t xml:space="preserve"> </w:t>
      </w:r>
      <w:r>
        <w:rPr>
          <w:iCs/>
          <w:i/>
        </w:rPr>
        <w:t xml:space="preserve">cis</w:t>
      </w:r>
      <w:r>
        <w:t xml:space="preserve"> </w:t>
      </w:r>
      <w:r>
        <w:t xml:space="preserve">instrument (6,135 instruments) and 2,234 yielded an estimable effect against the BBJ Graves disease discovery outcome; 13 reached the study-wide Bonferroni threshold (</w:t>
      </w:r>
      <w:r>
        <w:rPr>
          <w:iCs/>
          <w:i/>
        </w:rPr>
        <w:t xml:space="preserve">P</w:t>
      </w:r>
      <w:r>
        <w:t xml:space="preserve"> </w:t>
      </w:r>
      <w:r>
        <w:t xml:space="preserve">&lt; 1.965×10⁻⁵). Resolving those 13 (right) leaves no qualifying novel candidate: five are MHC-region signals, three fall in a single chromosome 16p11.2 linkage-disequilibrium block rather than representing three independent associations, two colocalized with the discovery outcome only (</w:t>
      </w:r>
      <w:r>
        <w:rPr>
          <w:iCs/>
          <w:i/>
        </w:rPr>
        <w:t xml:space="preserve">TNFSF14</w:t>
      </w:r>
      <w:r>
        <w:t xml:space="preserve"> </w:t>
      </w:r>
      <w:r>
        <w:t xml:space="preserve">and</w:t>
      </w:r>
      <w:r>
        <w:t xml:space="preserve"> </w:t>
      </w:r>
      <w:r>
        <w:rPr>
          <w:iCs/>
          <w:i/>
        </w:rPr>
        <w:t xml:space="preserve">IFNGR1</w:t>
      </w:r>
      <w:r>
        <w:t xml:space="preserve">, PP.H4 0.994 and 0.989, reproducing in neither replication outcome), one reflects a distinct causal variant (</w:t>
      </w:r>
      <w:r>
        <w:rPr>
          <w:iCs/>
          <w:i/>
        </w:rPr>
        <w:t xml:space="preserve">MAPKAPK5</w:t>
      </w:r>
      <w:r>
        <w:t xml:space="preserve">), and two are established loci retained as the susceptibility anchor (</w:t>
      </w:r>
      <w:r>
        <w:rPr>
          <w:iCs/>
          <w:i/>
        </w:rPr>
        <w:t xml:space="preserve">TSHR</w:t>
      </w:r>
      <w:r>
        <w:t xml:space="preserve">) and the positive control (</w:t>
      </w:r>
      <w:r>
        <w:rPr>
          <w:iCs/>
          <w:i/>
        </w:rPr>
        <w:t xml:space="preserve">CTLA4</w:t>
      </w:r>
      <w:r>
        <w:t xml:space="preserve">). The screen was powered at 80% to detect a median odds ratio of 2.55 (Table S8), so this null constrains additional large expression-mediated effects, particularly among well-powered genes, but does not exclude moderate effects.</w:t>
      </w:r>
      <w:r>
        <w:t xml:space="preserve"> </w:t>
      </w:r>
      <w:r>
        <w:rPr>
          <w:bCs/>
          <w:b/>
        </w:rPr>
        <w:t xml:space="preserve">(B)</w:t>
      </w:r>
      <w:r>
        <w:t xml:space="preserve"> </w:t>
      </w:r>
      <w:r>
        <w:t xml:space="preserve">The same two evidence layers were applied to</w:t>
      </w:r>
      <w:r>
        <w:t xml:space="preserve"> </w:t>
      </w:r>
      <w:r>
        <w:rPr>
          <w:iCs/>
          <w:i/>
        </w:rPr>
        <w:t xml:space="preserve">TSHR</w:t>
      </w:r>
      <w:r>
        <w:t xml:space="preserve"> </w:t>
      </w:r>
      <w:r>
        <w:t xml:space="preserve">and</w:t>
      </w:r>
      <w:r>
        <w:t xml:space="preserve"> </w:t>
      </w:r>
      <w:r>
        <w:rPr>
          <w:iCs/>
          <w:i/>
        </w:rPr>
        <w:t xml:space="preserve">IGF1R</w:t>
      </w:r>
      <w:r>
        <w:t xml:space="preserve"> </w:t>
      </w:r>
      <w:r>
        <w:t xml:space="preserve">using the same outcome hierarchy and analytic framework, with gene-specific</w:t>
      </w:r>
      <w:r>
        <w:t xml:space="preserve"> </w:t>
      </w:r>
      <w:r>
        <w:rPr>
          <w:iCs/>
          <w:i/>
        </w:rPr>
        <w:t xml:space="preserve">cis</w:t>
      </w:r>
      <w:r>
        <w:t xml:space="preserve">-eQTL instruments.</w:t>
      </w:r>
      <w:r>
        <w:t xml:space="preserve"> </w:t>
      </w:r>
      <w:r>
        <w:rPr>
          <w:iCs/>
          <w:i/>
        </w:rPr>
        <w:t xml:space="preserve">TSHR</w:t>
      </w:r>
      <w:r>
        <w:t xml:space="preserve"> </w:t>
      </w:r>
      <w:r>
        <w:t xml:space="preserve">satisfies both in the two Graves disease phenotypes;</w:t>
      </w:r>
      <w:r>
        <w:t xml:space="preserve"> </w:t>
      </w:r>
      <w:r>
        <w:rPr>
          <w:iCs/>
          <w:i/>
        </w:rPr>
        <w:t xml:space="preserve">IGF1R</w:t>
      </w:r>
      <w:r>
        <w:t xml:space="preserve"> </w:t>
      </w:r>
      <w:r>
        <w:t xml:space="preserve">shows a nominal genetic association in discovery (β = +0.45,</w:t>
      </w:r>
      <w:r>
        <w:t xml:space="preserve"> </w:t>
      </w:r>
      <w:r>
        <w:rPr>
          <w:iCs/>
          <w:i/>
        </w:rPr>
        <w:t xml:space="preserve">P</w:t>
      </w:r>
      <w:r>
        <w:t xml:space="preserve"> </w:t>
      </w:r>
      <w:r>
        <w:t xml:space="preserve">= 0.021) but no shared-variant colocalization in any outcome, with a</w:t>
      </w:r>
      <w:r>
        <w:t xml:space="preserve"> </w:t>
      </w:r>
      <w:r>
        <w:rPr>
          <w:iCs/>
          <w:i/>
        </w:rPr>
        <w:t xml:space="preserve">cis</w:t>
      </w:r>
      <w:r>
        <w:t xml:space="preserve">-eQTL-only posterior in the Graves disease phenotypes (PP.H2 = 0.69 and 0.62) — the therapeutic target does not display the susceptibility architecture seen at</w:t>
      </w:r>
      <w:r>
        <w:t xml:space="preserve"> </w:t>
      </w:r>
      <w:r>
        <w:rPr>
          <w:iCs/>
          <w:i/>
        </w:rPr>
        <w:t xml:space="preserve">TSHR</w:t>
      </w:r>
      <w:r>
        <w:t xml:space="preserve">.</w:t>
      </w:r>
    </w:p>
    <w:p>
      <w:pPr>
        <w:pStyle w:val="BodyText"/>
      </w:pPr>
      <w:r>
        <w:rPr>
          <w:bCs/>
          <w:b/>
        </w:rPr>
        <w:t xml:space="preserve">Figure 2. Druggable-gene-wide BBJ discovery Mendelian randomization.</w:t>
      </w:r>
      <w:r>
        <w:t xml:space="preserve"> </w:t>
      </w:r>
      <w:r>
        <w:t xml:space="preserve">Volcano plot of</w:t>
      </w:r>
      <w:r>
        <w:t xml:space="preserve"> </w:t>
      </w:r>
      <w:r>
        <w:rPr>
          <w:iCs/>
          <w:i/>
        </w:rPr>
        <w:t xml:space="preserve">cis</w:t>
      </w:r>
      <w:r>
        <w:t xml:space="preserve">-eQTL MR effects on Graves disease (BBJ discovery cohort, log-odds scale) for 2,234 druggable genes with estimable BBJ MR effects, among 2,544 MR-testable genes drawn from the druggable genome [16] with valid eQTLGen instruments. The horizontal dashed line marks the Bonferroni significance threshold (</w:t>
      </w:r>
      <w:r>
        <w:rPr>
          <w:iCs/>
          <w:i/>
        </w:rPr>
        <w:t xml:space="preserve">P</w:t>
      </w:r>
      <w:r>
        <w:t xml:space="preserve"> </w:t>
      </w:r>
      <w:r>
        <w:t xml:space="preserve">= 1.965 × 10⁻⁵), computed against all 2,544 MR-testable genes. Thirteen genes exceed this threshold.</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both established Graves disease loci, show strong protective-direction associations and serve as internal anchors/positive control.</w:t>
      </w:r>
      <w:r>
        <w:t xml:space="preserve"> </w:t>
      </w:r>
      <w:r>
        <w:rPr>
          <w:iCs/>
          <w:i/>
        </w:rPr>
        <w:t xml:space="preserve">HLA-A</w:t>
      </w:r>
      <w:r>
        <w:t xml:space="preserve"> </w:t>
      </w:r>
      <w:r>
        <w:t xml:space="preserve">and</w:t>
      </w:r>
      <w:r>
        <w:t xml:space="preserve"> </w:t>
      </w:r>
      <w:r>
        <w:rPr>
          <w:iCs/>
          <w:i/>
        </w:rPr>
        <w:t xml:space="preserve">HLA-DQA2</w:t>
      </w:r>
      <w:r>
        <w:t xml:space="preserve"> </w:t>
      </w:r>
      <w:r>
        <w:t xml:space="preserve">reflect MHC-region signal (grey). Three genes within the chr16p11.2 LD block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light purple) represent a single linkage-disequilibrium signal rather than independent associations (Supplementary Table S5).</w:t>
      </w:r>
      <w:r>
        <w:t xml:space="preserve"> </w:t>
      </w:r>
      <w:r>
        <w:rPr>
          <w:iCs/>
          <w:i/>
        </w:rPr>
        <w:t xml:space="preserve">IGF1R</w:t>
      </w:r>
      <w:r>
        <w:t xml:space="preserve"> </w:t>
      </w:r>
      <w:r>
        <w:t xml:space="preserve">(blue), the therapeutic backbone gene, lies below the Bonferroni threshold with nominal association and is evaluated in the backbone-gene analysis. No druggable gene outside the known anchors and LD/MHC artifacts achieved colocalization-supported novel association in more than one outcome (Supplementary Tables S1–S2).</w:t>
      </w:r>
    </w:p>
    <w:p>
      <w:pPr>
        <w:pStyle w:val="BodyText"/>
      </w:pPr>
      <w:r>
        <w:rPr>
          <w:bCs/>
          <w:b/>
        </w:rPr>
        <w:t xml:space="preserve">Figure 3. Genetic evidence for the backbone genes across three outcomes.</w:t>
      </w:r>
      <w:r>
        <w:t xml:space="preserve"> </w:t>
      </w:r>
      <w:r>
        <w:rPr>
          <w:bCs/>
          <w:b/>
        </w:rPr>
        <w:t xml:space="preserve">(A)</w:t>
      </w:r>
      <w:r>
        <w:t xml:space="preserve"> </w:t>
      </w:r>
      <w:r>
        <w:t xml:space="preserve">Bayesian colocalization posterior probabilities (coloc.abf, computed from beta and varbeta with ancestry-matched allele frequencies) for</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against each of the three outcomes. Bars show PP.H2 (</w:t>
      </w:r>
      <w:r>
        <w:rPr>
          <w:iCs/>
          <w:i/>
        </w:rPr>
        <w:t xml:space="preserve">cis</w:t>
      </w:r>
      <w:r>
        <w:t xml:space="preserve">-eQTL association only), PP.H3 (distinct causal variants) and PP.H4 (shared causal variant); the dashed line marks PP.H4 = 0.8.</w:t>
      </w:r>
      <w:r>
        <w:t xml:space="preserve"> </w:t>
      </w:r>
      <w:r>
        <w:rPr>
          <w:iCs/>
          <w:i/>
        </w:rPr>
        <w:t xml:space="preserve">TSHR</w:t>
      </w:r>
      <w:r>
        <w:t xml:space="preserve"> </w:t>
      </w:r>
      <w:r>
        <w:t xml:space="preserve">colocalizes strongly in both Graves disease phenotypes (PP.H4 = 0.951 and 0.986, lead variant rs179252) but not in the broader UKB hyperthyroidism phenotype, where distinct causal variants are favoured (PP.H3 = 0.774).</w:t>
      </w:r>
      <w:r>
        <w:t xml:space="preserve"> </w:t>
      </w:r>
      <w:r>
        <w:rPr>
          <w:iCs/>
          <w:i/>
        </w:rPr>
        <w:t xml:space="preserve">IGF1R</w:t>
      </w:r>
      <w:r>
        <w:t xml:space="preserve"> </w:t>
      </w:r>
      <w:r>
        <w:t xml:space="preserve">reaches the shared-variant threshold in no outcome and is PP.H2-dominant in both Graves disease phenotypes.</w:t>
      </w:r>
      <w:r>
        <w:t xml:space="preserve"> </w:t>
      </w:r>
      <w:r>
        <w:rPr>
          <w:iCs/>
          <w:i/>
        </w:rPr>
        <w:t xml:space="preserve">CTLA4</w:t>
      </w:r>
      <w:r>
        <w:t xml:space="preserve"> </w:t>
      </w:r>
      <w:r>
        <w:t xml:space="preserve">colocalizes in both European outcomes but not in the East Asian discovery arm. Posteriors are shown at the default prior p12 = 10⁻⁵; sensitivity analysis is given in Table S2.</w:t>
      </w:r>
      <w:r>
        <w:t xml:space="preserve"> </w:t>
      </w:r>
      <w:r>
        <w:rPr>
          <w:bCs/>
          <w:b/>
        </w:rPr>
        <w:t xml:space="preserve">(B)</w:t>
      </w:r>
      <w:r>
        <w:t xml:space="preserve"> </w:t>
      </w:r>
      <w:r>
        <w:t xml:space="preserve">MR effect estimates (β, log-odds) with 95% confidence intervals across the three outcomes.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 consistent protective-direction effects;</w:t>
      </w:r>
      <w:r>
        <w:t xml:space="preserve"> </w:t>
      </w:r>
      <w:r>
        <w:rPr>
          <w:iCs/>
          <w:i/>
        </w:rPr>
        <w:t xml:space="preserve">IGF1R</w:t>
      </w:r>
      <w:r>
        <w:t xml:space="preserve"> </w:t>
      </w:r>
      <w:r>
        <w:t xml:space="preserve">shows directionally consistent risk-direction estimates, with nominal significance in BBJ and UKB but not FinnGen.</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Sample size / cases</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up to 31,684</w:t>
            </w:r>
          </w:p>
        </w:tc>
      </w:tr>
      <w:tr>
        <w:tc>
          <w:tcPr/>
          <w:p>
            <w:pPr>
              <w:pStyle w:val="Compact"/>
              <w:jc w:val="left"/>
            </w:pPr>
            <w:r>
              <w:t xml:space="preserve">Biobank Japan Graves disease (GCST90018627) [13]</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 cases</w:t>
            </w:r>
          </w:p>
        </w:tc>
      </w:tr>
      <w:tr>
        <w:tc>
          <w:tcPr/>
          <w:p>
            <w:pPr>
              <w:pStyle w:val="Compact"/>
              <w:jc w:val="left"/>
            </w:pPr>
            <w:r>
              <w:t xml:space="preserve">UK Biobank hyperthyroidism (GCST90038636) [[NEWREF]]</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 cases</w:t>
            </w:r>
          </w:p>
        </w:tc>
      </w:tr>
      <w:tr>
        <w:tc>
          <w:tcPr/>
          <w:p>
            <w:pPr>
              <w:pStyle w:val="Compact"/>
              <w:jc w:val="left"/>
            </w:pPr>
            <w:r>
              <w:t xml:space="preserve">FinnGen R12 Graves ophthalmopathy [14]</w:t>
            </w:r>
          </w:p>
        </w:tc>
        <w:tc>
          <w:tcPr/>
          <w:p>
            <w:pPr>
              <w:pStyle w:val="Compact"/>
              <w:jc w:val="left"/>
            </w:pPr>
            <w:r>
              <w:t xml:space="preserve">TED-enriched sensitivity outcome</w:t>
            </w:r>
          </w:p>
        </w:tc>
        <w:tc>
          <w:tcPr/>
          <w:p>
            <w:pPr>
              <w:pStyle w:val="Compact"/>
              <w:jc w:val="left"/>
            </w:pPr>
            <w:r>
              <w:t xml:space="preserve">European</w:t>
            </w:r>
          </w:p>
        </w:tc>
        <w:tc>
          <w:tcPr/>
          <w:p>
            <w:pPr>
              <w:pStyle w:val="Compact"/>
              <w:jc w:val="left"/>
            </w:pPr>
            <w:r>
              <w:t xml:space="preserve">858 cases</w:t>
            </w:r>
          </w:p>
        </w:tc>
      </w:tr>
      <w:tr>
        <w:tc>
          <w:tcPr/>
          <w:p>
            <w:pPr>
              <w:pStyle w:val="Compact"/>
              <w:jc w:val="left"/>
            </w:pPr>
            <w:r>
              <w:t xml:space="preserve">In-house orbital RNA-seq</w:t>
            </w:r>
          </w:p>
        </w:tc>
        <w:tc>
          <w:tcPr/>
          <w:p>
            <w:pPr>
              <w:pStyle w:val="Compact"/>
              <w:jc w:val="left"/>
            </w:pPr>
            <w:r>
              <w:t xml:space="preserve">Exploratory tissue support</w:t>
            </w:r>
          </w:p>
        </w:tc>
        <w:tc>
          <w:tcPr/>
          <w:p>
            <w:pPr>
              <w:pStyle w:val="Compact"/>
              <w:jc w:val="left"/>
            </w:pPr>
            <w:r>
              <w:t xml:space="preserve">Korean</w:t>
            </w:r>
          </w:p>
        </w:tc>
        <w:tc>
          <w:tcPr/>
          <w:p>
            <w:pPr>
              <w:pStyle w:val="Compact"/>
              <w:jc w:val="left"/>
            </w:pPr>
            <w:r>
              <w:t xml:space="preserve">4 TED + 1 control</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TED-enriched sensitivity outcome. UKB binary-trait effect estimates were rescaled from a linear mixed-model scale to log-odds using case prevalence.</w:t>
      </w:r>
    </w:p>
    <w:p>
      <w:pPr>
        <w:pStyle w:val="BodyText"/>
      </w:pPr>
      <w:r>
        <w:rPr>
          <w:bCs/>
          <w:b/>
        </w:rPr>
        <w:t xml:space="preserve">Table 2. Integrated genetic, statistical, and tissue evidence for backbone genes.</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Coloc PP.H3</w:t>
            </w:r>
          </w:p>
        </w:tc>
        <w:tc>
          <w:tcPr/>
          <w:p>
            <w:pPr>
              <w:pStyle w:val="Compact"/>
              <w:jc w:val="left"/>
            </w:pPr>
            <w:r>
              <w:t xml:space="preserve">Coloc lead SNP</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0.049</w:t>
            </w:r>
          </w:p>
        </w:tc>
        <w:tc>
          <w:tcPr/>
          <w:p>
            <w:pPr>
              <w:pStyle w:val="Compact"/>
              <w:jc w:val="left"/>
            </w:pPr>
            <w:r>
              <w:t xml:space="preserve">rs179252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0.226</w:t>
            </w:r>
          </w:p>
        </w:tc>
        <w:tc>
          <w:tcPr/>
          <w:p>
            <w:pPr>
              <w:pStyle w:val="Compact"/>
              <w:jc w:val="left"/>
            </w:pPr>
            <w:r>
              <w:t xml:space="preserve">0.774</w:t>
            </w:r>
          </w:p>
        </w:tc>
        <w:tc>
          <w:tcPr/>
          <w:p>
            <w:pPr>
              <w:pStyle w:val="Compact"/>
              <w:jc w:val="left"/>
            </w:pPr>
            <w:r>
              <w:t xml:space="preserve">rs1023586</w:t>
            </w: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jc w:val="left"/>
            </w:pPr>
            <w:r>
              <w:t xml:space="preserve">0.014</w:t>
            </w:r>
          </w:p>
        </w:tc>
        <w:tc>
          <w:tcPr/>
          <w:p>
            <w:pPr>
              <w:pStyle w:val="Compact"/>
              <w:jc w:val="left"/>
            </w:pPr>
            <w:r>
              <w:t xml:space="preserve">rs179252</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0.073</w:t>
            </w:r>
          </w:p>
        </w:tc>
        <w:tc>
          <w:tcPr/>
          <w:p>
            <w:pPr>
              <w:pStyle w:val="Compact"/>
              <w:jc w:val="left"/>
            </w:pPr>
            <w:r>
              <w:t xml:space="preserve">0.236</w:t>
            </w:r>
          </w:p>
        </w:tc>
        <w:tc>
          <w:tcPr/>
          <w:p>
            <w:pPr>
              <w:pStyle w:val="Compact"/>
              <w:jc w:val="left"/>
            </w:pPr>
            <w:r>
              <w:t xml:space="preserve">rs2654980</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0.404</w:t>
            </w:r>
          </w:p>
        </w:tc>
        <w:tc>
          <w:tcPr/>
          <w:p>
            <w:pPr>
              <w:pStyle w:val="Compact"/>
              <w:jc w:val="left"/>
            </w:pPr>
            <w:r>
              <w:t xml:space="preserve">0.196</w:t>
            </w:r>
          </w:p>
        </w:tc>
        <w:tc>
          <w:tcPr/>
          <w:p>
            <w:pPr>
              <w:pStyle w:val="Compact"/>
              <w:jc w:val="left"/>
            </w:pPr>
            <w:r>
              <w:t xml:space="preserve">rs2654980</w:t>
            </w: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0.032</w:t>
            </w:r>
          </w:p>
        </w:tc>
        <w:tc>
          <w:tcPr/>
          <w:p>
            <w:pPr>
              <w:pStyle w:val="Compact"/>
              <w:jc w:val="left"/>
            </w:pPr>
            <w:r>
              <w:t xml:space="preserve">0.346</w:t>
            </w:r>
          </w:p>
        </w:tc>
        <w:tc>
          <w:tcPr/>
          <w:p>
            <w:pPr>
              <w:pStyle w:val="Compact"/>
              <w:jc w:val="left"/>
            </w:pPr>
            <w:r>
              <w:t xml:space="preserve">rs2654980</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0.201</w:t>
            </w:r>
          </w:p>
        </w:tc>
        <w:tc>
          <w:tcPr/>
          <w:p>
            <w:pPr>
              <w:pStyle w:val="Compact"/>
              <w:jc w:val="left"/>
            </w:pPr>
            <w:r>
              <w:t xml:space="preserve">0.799</w:t>
            </w:r>
          </w:p>
        </w:tc>
        <w:tc>
          <w:tcPr/>
          <w:p>
            <w:pPr>
              <w:pStyle w:val="Compact"/>
              <w:jc w:val="left"/>
            </w:pPr>
            <w:r>
              <w:t xml:space="preserve">rs231811</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0.953</w:t>
            </w:r>
          </w:p>
        </w:tc>
        <w:tc>
          <w:tcPr/>
          <w:p>
            <w:pPr>
              <w:pStyle w:val="Compact"/>
              <w:jc w:val="left"/>
            </w:pPr>
            <w:r>
              <w:t xml:space="preserve">0.047</w:t>
            </w:r>
          </w:p>
        </w:tc>
        <w:tc>
          <w:tcPr/>
          <w:p>
            <w:pPr>
              <w:pStyle w:val="Compact"/>
              <w:jc w:val="left"/>
            </w:pPr>
            <w:r>
              <w:t xml:space="preserve">rs3087243</w:t>
            </w: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jc w:val="left"/>
            </w:pPr>
            <w:r>
              <w:t xml:space="preserve">0.022</w:t>
            </w:r>
          </w:p>
        </w:tc>
        <w:tc>
          <w:tcPr/>
          <w:p>
            <w:pPr>
              <w:pStyle w:val="Compact"/>
              <w:jc w:val="left"/>
            </w:pPr>
            <w:r>
              <w:t xml:space="preserve">rs1863800</w:t>
            </w: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used beta and varbeta with ancestry-matched allele frequencies and the case fractions given in Table 1; PP.H4 ≥ 0.80 indicates strong evidence for a shared causal variant and PP.H3 evidence for distinct causal variants. IGF1R is PP.H2-dominant in both Graves disease phenotypes (PP.H2 = 0.69 and 0.62), i.e. a cis-eQTL signal that does not resolve to a variant shared with the outcome; because colocalization tests only the shared-causal-variant hypothesis, this does not contradict the nominal MR association reported above. Posteriors shown are at the default prior p12 = 10⁻⁵; sensitivity at p12 = 10⁻⁶ and 5×10⁻⁶ is reported in Table S2.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(UKB)</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0.201</w:t>
            </w:r>
          </w:p>
        </w:tc>
        <w:tc>
          <w:tcPr/>
          <w:p>
            <w:pPr>
              <w:pStyle w:val="Compact"/>
              <w:jc w:val="left"/>
            </w:pPr>
            <w:r>
              <w:t xml:space="preserve">0.953</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0.226</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0.636</w:t>
            </w:r>
          </w:p>
        </w:tc>
        <w:tc>
          <w:tcPr/>
          <w:p>
            <w:pPr>
              <w:pStyle w:val="Compact"/>
              <w:jc w:val="left"/>
            </w:pPr>
            <w:r>
              <w:t xml:space="preserve">0.095</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0.388</w:t>
            </w:r>
          </w:p>
        </w:tc>
        <w:tc>
          <w:tcPr/>
          <w:p>
            <w:pPr>
              <w:pStyle w:val="Compact"/>
              <w:jc w:val="left"/>
            </w:pPr>
            <w:r>
              <w:t xml:space="preserve">0.030</w:t>
            </w:r>
          </w:p>
        </w:tc>
        <w:tc>
          <w:tcPr/>
          <w:p>
            <w:pPr>
              <w:pStyle w:val="Compact"/>
              <w:jc w:val="left"/>
            </w:pPr>
            <w:r>
              <w:t xml:space="preserve">0.030</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0.237</w:t>
            </w:r>
          </w:p>
        </w:tc>
        <w:tc>
          <w:tcPr/>
          <w:p>
            <w:pPr>
              <w:pStyle w:val="Compact"/>
              <w:jc w:val="left"/>
            </w:pPr>
            <w:r>
              <w:t xml:space="preserve">0.017</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0.168</w:t>
            </w:r>
          </w:p>
        </w:tc>
        <w:tc>
          <w:tcPr/>
          <w:p>
            <w:pPr>
              <w:pStyle w:val="Compact"/>
              <w:jc w:val="left"/>
            </w:pPr>
            <w:r>
              <w:t xml:space="preserve">0.115</w:t>
            </w:r>
          </w:p>
        </w:tc>
        <w:tc>
          <w:tcPr/>
          <w:p>
            <w:pPr>
              <w:pStyle w:val="Compact"/>
              <w:jc w:val="left"/>
            </w:pPr>
            <w:r>
              <w:t xml:space="preserve">0.037</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0.005</w:t>
            </w:r>
          </w:p>
        </w:tc>
        <w:tc>
          <w:tcPr/>
          <w:p>
            <w:pPr>
              <w:pStyle w:val="Compact"/>
              <w:jc w:val="left"/>
            </w:pPr>
            <w:r>
              <w:t xml:space="preserve">0.026</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0.052</w:t>
            </w:r>
          </w:p>
        </w:tc>
        <w:tc>
          <w:tcPr/>
          <w:p>
            <w:pPr>
              <w:pStyle w:val="Compact"/>
              <w:jc w:val="left"/>
            </w:pPr>
            <w:r>
              <w:t xml:space="preserve">0.020</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the BBJ discovery and FinnGen TED-enriched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two-outcome colocalization. The two established loci (TSHR, CTLA4) and MHC-region signals are recognized a priori. Among non-known candidates, TNFSF14 and IFNGR1 colocalized strongly in BBJ (PP.H4 = 0.994 and 0.989) but not in the TED-enriched outcome (PP.H4 = 0.019), and the chr16p11.2 cluster reflects a single LD block (Supplementary Table S5); no non-known candidate showed shared-variant colocalization in both Graves disease phenotypes.</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TED-enriched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rPr>
          <w:iCs/>
          <w:i/>
        </w:rPr>
        <w:t xml:space="preserve"> </w:t>
      </w:r>
      <w:r>
        <w:rPr>
          <w:iCs/>
          <w:i/>
        </w:rPr>
        <w:t xml:space="preserve">-</w:t>
      </w:r>
      <w:r>
        <w:rPr>
          <w:iCs/>
          <w:i/>
        </w:rPr>
        <w:t xml:space="preserve"> </w:t>
      </w:r>
      <w:r>
        <w:rPr>
          <w:bCs/>
          <w:b/>
          <w:iCs/>
          <w:i/>
        </w:rPr>
        <w:t xml:space="preserve">Table S2.</w:t>
      </w:r>
      <w:r>
        <w:rPr>
          <w:iCs/>
          <w:i/>
        </w:rPr>
        <w:t xml:space="preserve"> </w:t>
      </w:r>
      <w:r>
        <w:rPr>
          <w:iCs/>
          <w:i/>
        </w:rPr>
        <w:t xml:space="preserve">Candidate colocalization across all three outcomes for non-known candidate hits. Posterior probabilities are from coloc.abf using beta and varbeta with ancestry-matched allele frequencies (H0 no association; H1 outcome only; H2</w:t>
      </w:r>
      <w:r>
        <w:rPr>
          <w:iCs/>
          <w:i/>
        </w:rPr>
        <w:t xml:space="preserve"> </w:t>
      </w:r>
      <w:r>
        <w:t xml:space="preserve">cis*-eQTL only; H3 distinct causal variants; H4 shared causal variant). The last two columns give PP.H4 under more conservative priors.</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c>
          <w:tcPr/>
          <w:p>
            <w:pPr>
              <w:pStyle w:val="Compact"/>
              <w:jc w:val="left"/>
            </w:pPr>
            <w:r>
              <w:t xml:space="preserve">PP.H4 (p12=10⁻⁶)</w:t>
            </w:r>
          </w:p>
        </w:tc>
        <w:tc>
          <w:tcPr/>
          <w:p>
            <w:pPr>
              <w:pStyle w:val="Compact"/>
              <w:jc w:val="left"/>
            </w:pPr>
            <w:r>
              <w:t xml:space="preserve">PP.H4 (p12=5×10⁻⁶)</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4,790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c>
          <w:tcPr/>
          <w:p>
            <w:pPr>
              <w:pStyle w:val="Compact"/>
              <w:jc w:val="left"/>
            </w:pPr>
            <w:r>
              <w:t xml:space="preserve">0.941</w:t>
            </w:r>
          </w:p>
        </w:tc>
        <w:tc>
          <w:tcPr/>
          <w:p>
            <w:pPr>
              <w:pStyle w:val="Compact"/>
              <w:jc w:val="left"/>
            </w:pPr>
            <w:r>
              <w:t xml:space="preserve">0.988</w:t>
            </w:r>
          </w:p>
        </w:tc>
      </w:tr>
      <w:tr>
        <w:tc>
          <w:tcPr/>
          <w:p>
            <w:pPr>
              <w:pStyle w:val="Compact"/>
              <w:jc w:val="left"/>
            </w:pPr>
            <w:r>
              <w:rPr>
                <w:iCs/>
                <w:i/>
              </w:rPr>
              <w:t xml:space="preserve">TNFSF14</w:t>
            </w:r>
          </w:p>
        </w:tc>
        <w:tc>
          <w:tcPr/>
          <w:p>
            <w:pPr>
              <w:pStyle w:val="Compact"/>
              <w:jc w:val="left"/>
            </w:pPr>
            <w:r>
              <w:t xml:space="preserve">UKB hyperthyroid</w:t>
            </w:r>
          </w:p>
        </w:tc>
        <w:tc>
          <w:tcPr/>
          <w:p>
            <w:pPr>
              <w:pStyle w:val="Compact"/>
              <w:jc w:val="left"/>
            </w:pPr>
            <w:r>
              <w:t xml:space="preserve">7,197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0.360</w:t>
            </w:r>
          </w:p>
        </w:tc>
        <w:tc>
          <w:tcPr/>
          <w:p>
            <w:pPr>
              <w:pStyle w:val="Compact"/>
              <w:jc w:val="left"/>
            </w:pPr>
            <w:r>
              <w:t xml:space="preserve">0.403</w:t>
            </w:r>
          </w:p>
        </w:tc>
        <w:tc>
          <w:tcPr/>
          <w:p>
            <w:pPr>
              <w:pStyle w:val="Compact"/>
              <w:jc w:val="left"/>
            </w:pPr>
            <w:r>
              <w:t xml:space="preserve">0.237</w:t>
            </w:r>
          </w:p>
        </w:tc>
        <w:tc>
          <w:tcPr/>
          <w:p>
            <w:pPr>
              <w:pStyle w:val="Compact"/>
              <w:jc w:val="left"/>
            </w:pPr>
            <w:r>
              <w:t xml:space="preserve">rs2291668</w:t>
            </w:r>
          </w:p>
        </w:tc>
        <w:tc>
          <w:tcPr/>
          <w:p>
            <w:pPr>
              <w:pStyle w:val="Compact"/>
              <w:jc w:val="left"/>
            </w:pPr>
            <w:r>
              <w:t xml:space="preserve">0.030</w:t>
            </w:r>
          </w:p>
        </w:tc>
        <w:tc>
          <w:tcPr/>
          <w:p>
            <w:pPr>
              <w:pStyle w:val="Compact"/>
              <w:jc w:val="left"/>
            </w:pPr>
            <w:r>
              <w:t xml:space="preserve">0.134</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7,703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0.357</w:t>
            </w:r>
          </w:p>
        </w:tc>
        <w:tc>
          <w:tcPr/>
          <w:p>
            <w:pPr>
              <w:pStyle w:val="Compact"/>
              <w:jc w:val="left"/>
            </w:pPr>
            <w:r>
              <w:t xml:space="preserve">0.017</w:t>
            </w:r>
          </w:p>
        </w:tc>
        <w:tc>
          <w:tcPr/>
          <w:p>
            <w:pPr>
              <w:pStyle w:val="Compact"/>
              <w:jc w:val="left"/>
            </w:pPr>
            <w:r>
              <w:t xml:space="preserve">rs2291668</w:t>
            </w:r>
          </w:p>
        </w:tc>
        <w:tc>
          <w:tcPr/>
          <w:p>
            <w:pPr>
              <w:pStyle w:val="Compact"/>
              <w:jc w:val="left"/>
            </w:pPr>
            <w:r>
              <w:t xml:space="preserve">0.002</w:t>
            </w:r>
          </w:p>
        </w:tc>
        <w:tc>
          <w:tcPr/>
          <w:p>
            <w:pPr>
              <w:pStyle w:val="Compact"/>
              <w:jc w:val="left"/>
            </w:pPr>
            <w:r>
              <w:t xml:space="preserve">0.009</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3,973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c>
          <w:tcPr/>
          <w:p>
            <w:pPr>
              <w:pStyle w:val="Compact"/>
              <w:jc w:val="left"/>
            </w:pPr>
            <w:r>
              <w:t xml:space="preserve">0.899</w:t>
            </w:r>
          </w:p>
        </w:tc>
        <w:tc>
          <w:tcPr/>
          <w:p>
            <w:pPr>
              <w:pStyle w:val="Compact"/>
              <w:jc w:val="left"/>
            </w:pPr>
            <w:r>
              <w:t xml:space="preserve">0.978</w:t>
            </w:r>
          </w:p>
        </w:tc>
      </w:tr>
      <w:tr>
        <w:tc>
          <w:tcPr/>
          <w:p>
            <w:pPr>
              <w:pStyle w:val="Compact"/>
              <w:jc w:val="left"/>
            </w:pPr>
            <w:r>
              <w:rPr>
                <w:iCs/>
                <w:i/>
              </w:rPr>
              <w:t xml:space="preserve">IFNGR1</w:t>
            </w:r>
          </w:p>
        </w:tc>
        <w:tc>
          <w:tcPr/>
          <w:p>
            <w:pPr>
              <w:pStyle w:val="Compact"/>
              <w:jc w:val="left"/>
            </w:pPr>
            <w:r>
              <w:t xml:space="preserve">UKB hyperthyroid</w:t>
            </w:r>
          </w:p>
        </w:tc>
        <w:tc>
          <w:tcPr/>
          <w:p>
            <w:pPr>
              <w:pStyle w:val="Compact"/>
              <w:jc w:val="left"/>
            </w:pPr>
            <w:r>
              <w:t xml:space="preserve">5,145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0.736</w:t>
            </w:r>
          </w:p>
        </w:tc>
        <w:tc>
          <w:tcPr/>
          <w:p>
            <w:pPr>
              <w:pStyle w:val="Compact"/>
              <w:jc w:val="left"/>
            </w:pPr>
            <w:r>
              <w:t xml:space="preserve">0.211</w:t>
            </w:r>
          </w:p>
        </w:tc>
        <w:tc>
          <w:tcPr/>
          <w:p>
            <w:pPr>
              <w:pStyle w:val="Compact"/>
              <w:jc w:val="left"/>
            </w:pPr>
            <w:r>
              <w:t xml:space="preserve">0.052</w:t>
            </w:r>
          </w:p>
        </w:tc>
        <w:tc>
          <w:tcPr/>
          <w:p>
            <w:pPr>
              <w:pStyle w:val="Compact"/>
              <w:jc w:val="left"/>
            </w:pPr>
            <w:r>
              <w:t xml:space="preserve">rs11754268</w:t>
            </w:r>
          </w:p>
        </w:tc>
        <w:tc>
          <w:tcPr/>
          <w:p>
            <w:pPr>
              <w:pStyle w:val="Compact"/>
              <w:jc w:val="left"/>
            </w:pPr>
            <w:r>
              <w:t xml:space="preserve">0.005</w:t>
            </w:r>
          </w:p>
        </w:tc>
        <w:tc>
          <w:tcPr/>
          <w:p>
            <w:pPr>
              <w:pStyle w:val="Compact"/>
              <w:jc w:val="left"/>
            </w:pPr>
            <w:r>
              <w:t xml:space="preserve">0.027</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5,891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0.641</w:t>
            </w:r>
          </w:p>
        </w:tc>
        <w:tc>
          <w:tcPr/>
          <w:p>
            <w:pPr>
              <w:pStyle w:val="Compact"/>
              <w:jc w:val="left"/>
            </w:pPr>
            <w:r>
              <w:t xml:space="preserve">0.339</w:t>
            </w:r>
          </w:p>
        </w:tc>
        <w:tc>
          <w:tcPr/>
          <w:p>
            <w:pPr>
              <w:pStyle w:val="Compact"/>
              <w:jc w:val="left"/>
            </w:pPr>
            <w:r>
              <w:t xml:space="preserve">0.020</w:t>
            </w:r>
          </w:p>
        </w:tc>
        <w:tc>
          <w:tcPr/>
          <w:p>
            <w:pPr>
              <w:pStyle w:val="Compact"/>
              <w:jc w:val="left"/>
            </w:pPr>
            <w:r>
              <w:t xml:space="preserve">rs11754268</w:t>
            </w:r>
          </w:p>
        </w:tc>
        <w:tc>
          <w:tcPr/>
          <w:p>
            <w:pPr>
              <w:pStyle w:val="Compact"/>
              <w:jc w:val="left"/>
            </w:pPr>
            <w:r>
              <w:t xml:space="preserve">0.002</w:t>
            </w:r>
          </w:p>
        </w:tc>
        <w:tc>
          <w:tcPr/>
          <w:p>
            <w:pPr>
              <w:pStyle w:val="Compact"/>
              <w:jc w:val="left"/>
            </w:pPr>
            <w:r>
              <w:t xml:space="preserve">0.010</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2,077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c>
          <w:tcPr/>
          <w:p>
            <w:pPr>
              <w:pStyle w:val="Compact"/>
              <w:jc w:val="left"/>
            </w:pPr>
            <w:r>
              <w:t xml:space="preserve">0.000</w:t>
            </w:r>
          </w:p>
        </w:tc>
        <w:tc>
          <w:tcPr/>
          <w:p>
            <w:pPr>
              <w:pStyle w:val="Compact"/>
              <w:jc w:val="left"/>
            </w:pPr>
            <w:r>
              <w:t xml:space="preserve">0.000</w:t>
            </w:r>
          </w:p>
        </w:tc>
      </w:tr>
      <w:tr>
        <w:tc>
          <w:tcPr/>
          <w:p>
            <w:pPr>
              <w:pStyle w:val="Compact"/>
              <w:jc w:val="left"/>
            </w:pPr>
            <w:r>
              <w:rPr>
                <w:iCs/>
                <w:i/>
              </w:rPr>
              <w:t xml:space="preserve">MAPKAPK5</w:t>
            </w:r>
          </w:p>
        </w:tc>
        <w:tc>
          <w:tcPr/>
          <w:p>
            <w:pPr>
              <w:pStyle w:val="Compact"/>
              <w:jc w:val="left"/>
            </w:pPr>
            <w:r>
              <w:t xml:space="preserve">UKB hyperthyroid</w:t>
            </w:r>
          </w:p>
        </w:tc>
        <w:tc>
          <w:tcPr/>
          <w:p>
            <w:pPr>
              <w:pStyle w:val="Compact"/>
              <w:jc w:val="left"/>
            </w:pPr>
            <w:r>
              <w:t xml:space="preserve">2,763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0.052</w:t>
            </w:r>
          </w:p>
        </w:tc>
        <w:tc>
          <w:tcPr/>
          <w:p>
            <w:pPr>
              <w:pStyle w:val="Compact"/>
              <w:jc w:val="left"/>
            </w:pPr>
            <w:r>
              <w:t xml:space="preserve">0.944</w:t>
            </w:r>
          </w:p>
        </w:tc>
        <w:tc>
          <w:tcPr/>
          <w:p>
            <w:pPr>
              <w:pStyle w:val="Compact"/>
              <w:jc w:val="left"/>
            </w:pPr>
            <w:r>
              <w:t xml:space="preserve">0.005</w:t>
            </w:r>
          </w:p>
        </w:tc>
        <w:tc>
          <w:tcPr/>
          <w:p>
            <w:pPr>
              <w:pStyle w:val="Compact"/>
              <w:jc w:val="left"/>
            </w:pPr>
            <w:r>
              <w:t xml:space="preserve">rs79271898</w:t>
            </w:r>
          </w:p>
        </w:tc>
        <w:tc>
          <w:tcPr/>
          <w:p>
            <w:pPr>
              <w:pStyle w:val="Compact"/>
              <w:jc w:val="left"/>
            </w:pPr>
            <w:r>
              <w:t xml:space="preserve">0.000</w:t>
            </w:r>
          </w:p>
        </w:tc>
        <w:tc>
          <w:tcPr/>
          <w:p>
            <w:pPr>
              <w:pStyle w:val="Compact"/>
              <w:jc w:val="left"/>
            </w:pPr>
            <w:r>
              <w:t xml:space="preserve">0.002</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3,294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0.663</w:t>
            </w:r>
          </w:p>
        </w:tc>
        <w:tc>
          <w:tcPr/>
          <w:p>
            <w:pPr>
              <w:pStyle w:val="Compact"/>
              <w:jc w:val="left"/>
            </w:pPr>
            <w:r>
              <w:t xml:space="preserve">0.311</w:t>
            </w:r>
          </w:p>
        </w:tc>
        <w:tc>
          <w:tcPr/>
          <w:p>
            <w:pPr>
              <w:pStyle w:val="Compact"/>
              <w:jc w:val="left"/>
            </w:pPr>
            <w:r>
              <w:t xml:space="preserve">0.026</w:t>
            </w:r>
          </w:p>
        </w:tc>
        <w:tc>
          <w:tcPr/>
          <w:p>
            <w:pPr>
              <w:pStyle w:val="Compact"/>
              <w:jc w:val="left"/>
            </w:pPr>
            <w:r>
              <w:t xml:space="preserve">rs79271898</w:t>
            </w:r>
          </w:p>
        </w:tc>
        <w:tc>
          <w:tcPr/>
          <w:p>
            <w:pPr>
              <w:pStyle w:val="Compact"/>
              <w:jc w:val="left"/>
            </w:pPr>
            <w:r>
              <w:t xml:space="preserve">0.003</w:t>
            </w:r>
          </w:p>
        </w:tc>
        <w:tc>
          <w:tcPr/>
          <w:p>
            <w:pPr>
              <w:pStyle w:val="Compact"/>
              <w:jc w:val="left"/>
            </w:pPr>
            <w:r>
              <w:t xml:space="preserve">0.013</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1,630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0.364</w:t>
            </w:r>
          </w:p>
        </w:tc>
        <w:tc>
          <w:tcPr/>
          <w:p>
            <w:pPr>
              <w:pStyle w:val="Compact"/>
              <w:jc w:val="left"/>
            </w:pPr>
            <w:r>
              <w:t xml:space="preserve">0.636</w:t>
            </w:r>
          </w:p>
        </w:tc>
        <w:tc>
          <w:tcPr/>
          <w:p>
            <w:pPr>
              <w:pStyle w:val="Compact"/>
              <w:jc w:val="left"/>
            </w:pPr>
            <w:r>
              <w:t xml:space="preserve">rs4889606</w:t>
            </w:r>
          </w:p>
        </w:tc>
        <w:tc>
          <w:tcPr/>
          <w:p>
            <w:pPr>
              <w:pStyle w:val="Compact"/>
              <w:jc w:val="left"/>
            </w:pPr>
            <w:r>
              <w:t xml:space="preserve">0.149</w:t>
            </w:r>
          </w:p>
        </w:tc>
        <w:tc>
          <w:tcPr/>
          <w:p>
            <w:pPr>
              <w:pStyle w:val="Compact"/>
              <w:jc w:val="left"/>
            </w:pPr>
            <w:r>
              <w:t xml:space="preserve">0.467</w:t>
            </w:r>
          </w:p>
        </w:tc>
      </w:tr>
      <w:tr>
        <w:tc>
          <w:tcPr/>
          <w:p>
            <w:pPr>
              <w:pStyle w:val="Compact"/>
              <w:jc w:val="left"/>
            </w:pPr>
            <w:r>
              <w:rPr>
                <w:iCs/>
                <w:i/>
              </w:rPr>
              <w:t xml:space="preserve">HSD3B7</w:t>
            </w:r>
          </w:p>
        </w:tc>
        <w:tc>
          <w:tcPr/>
          <w:p>
            <w:pPr>
              <w:pStyle w:val="Compact"/>
              <w:jc w:val="left"/>
            </w:pPr>
            <w:r>
              <w:t xml:space="preserve">UKB hyperthyroid</w:t>
            </w:r>
          </w:p>
        </w:tc>
        <w:tc>
          <w:tcPr/>
          <w:p>
            <w:pPr>
              <w:pStyle w:val="Compact"/>
              <w:jc w:val="left"/>
            </w:pPr>
            <w:r>
              <w:t xml:space="preserve">2,755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0.444</w:t>
            </w:r>
          </w:p>
        </w:tc>
        <w:tc>
          <w:tcPr/>
          <w:p>
            <w:pPr>
              <w:pStyle w:val="Compact"/>
              <w:jc w:val="left"/>
            </w:pPr>
            <w:r>
              <w:t xml:space="preserve">0.461</w:t>
            </w:r>
          </w:p>
        </w:tc>
        <w:tc>
          <w:tcPr/>
          <w:p>
            <w:pPr>
              <w:pStyle w:val="Compact"/>
              <w:jc w:val="left"/>
            </w:pPr>
            <w:r>
              <w:t xml:space="preserve">0.095</w:t>
            </w:r>
          </w:p>
        </w:tc>
        <w:tc>
          <w:tcPr/>
          <w:p>
            <w:pPr>
              <w:pStyle w:val="Compact"/>
              <w:jc w:val="left"/>
            </w:pPr>
            <w:r>
              <w:t xml:space="preserve">rs4889606</w:t>
            </w:r>
          </w:p>
        </w:tc>
        <w:tc>
          <w:tcPr/>
          <w:p>
            <w:pPr>
              <w:pStyle w:val="Compact"/>
              <w:jc w:val="left"/>
            </w:pPr>
            <w:r>
              <w:t xml:space="preserve">0.010</w:t>
            </w:r>
          </w:p>
        </w:tc>
        <w:tc>
          <w:tcPr/>
          <w:p>
            <w:pPr>
              <w:pStyle w:val="Compact"/>
              <w:jc w:val="left"/>
            </w:pPr>
            <w:r>
              <w:t xml:space="preserve">0.050</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3,104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c>
          <w:tcPr/>
          <w:p>
            <w:pPr>
              <w:pStyle w:val="Compact"/>
              <w:jc w:val="left"/>
            </w:pPr>
            <w:r>
              <w:t xml:space="preserve">0.003</w:t>
            </w:r>
          </w:p>
        </w:tc>
        <w:tc>
          <w:tcPr/>
          <w:p>
            <w:pPr>
              <w:pStyle w:val="Compact"/>
              <w:jc w:val="left"/>
            </w:pPr>
            <w:r>
              <w:t xml:space="preserve">0.013</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0.612</w:t>
            </w:r>
          </w:p>
        </w:tc>
        <w:tc>
          <w:tcPr/>
          <w:p>
            <w:pPr>
              <w:pStyle w:val="Compact"/>
              <w:jc w:val="left"/>
            </w:pPr>
            <w:r>
              <w:t xml:space="preserve">0.388</w:t>
            </w:r>
          </w:p>
        </w:tc>
        <w:tc>
          <w:tcPr/>
          <w:p>
            <w:pPr>
              <w:pStyle w:val="Compact"/>
              <w:jc w:val="left"/>
            </w:pPr>
            <w:r>
              <w:t xml:space="preserve">rs34649473</w:t>
            </w:r>
          </w:p>
        </w:tc>
        <w:tc>
          <w:tcPr/>
          <w:p>
            <w:pPr>
              <w:pStyle w:val="Compact"/>
              <w:jc w:val="left"/>
            </w:pPr>
            <w:r>
              <w:t xml:space="preserve">0.060</w:t>
            </w:r>
          </w:p>
        </w:tc>
        <w:tc>
          <w:tcPr/>
          <w:p>
            <w:pPr>
              <w:pStyle w:val="Compact"/>
              <w:jc w:val="left"/>
            </w:pPr>
            <w:r>
              <w:t xml:space="preserve">0.241</w:t>
            </w:r>
          </w:p>
        </w:tc>
      </w:tr>
      <w:tr>
        <w:tc>
          <w:tcPr/>
          <w:p>
            <w:pPr>
              <w:pStyle w:val="Compact"/>
              <w:jc w:val="left"/>
            </w:pPr>
            <w:r>
              <w:rPr>
                <w:iCs/>
                <w:i/>
              </w:rPr>
              <w:t xml:space="preserve">VKORC1</w:t>
            </w:r>
          </w:p>
        </w:tc>
        <w:tc>
          <w:tcPr/>
          <w:p>
            <w:pPr>
              <w:pStyle w:val="Compact"/>
              <w:jc w:val="left"/>
            </w:pPr>
            <w:r>
              <w:t xml:space="preserve">UKB hyperthyroid</w:t>
            </w:r>
          </w:p>
        </w:tc>
        <w:tc>
          <w:tcPr/>
          <w:p>
            <w:pPr>
              <w:pStyle w:val="Compact"/>
              <w:jc w:val="left"/>
            </w:pPr>
            <w:r>
              <w:t xml:space="preserve">2,644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0.477</w:t>
            </w:r>
          </w:p>
        </w:tc>
        <w:tc>
          <w:tcPr/>
          <w:p>
            <w:pPr>
              <w:pStyle w:val="Compact"/>
              <w:jc w:val="left"/>
            </w:pPr>
            <w:r>
              <w:t xml:space="preserve">0.493</w:t>
            </w:r>
          </w:p>
        </w:tc>
        <w:tc>
          <w:tcPr/>
          <w:p>
            <w:pPr>
              <w:pStyle w:val="Compact"/>
              <w:jc w:val="left"/>
            </w:pPr>
            <w:r>
              <w:t xml:space="preserve">0.030</w:t>
            </w:r>
          </w:p>
        </w:tc>
        <w:tc>
          <w:tcPr/>
          <w:p>
            <w:pPr>
              <w:pStyle w:val="Compact"/>
              <w:jc w:val="left"/>
            </w:pPr>
            <w:r>
              <w:t xml:space="preserve">rs34649473</w:t>
            </w:r>
          </w:p>
        </w:tc>
        <w:tc>
          <w:tcPr/>
          <w:p>
            <w:pPr>
              <w:pStyle w:val="Compact"/>
              <w:jc w:val="left"/>
            </w:pPr>
            <w:r>
              <w:t xml:space="preserve">0.003</w:t>
            </w:r>
          </w:p>
        </w:tc>
        <w:tc>
          <w:tcPr/>
          <w:p>
            <w:pPr>
              <w:pStyle w:val="Compact"/>
              <w:jc w:val="left"/>
            </w:pPr>
            <w:r>
              <w:t xml:space="preserve">0.015</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2,961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0.739</w:t>
            </w:r>
          </w:p>
        </w:tc>
        <w:tc>
          <w:tcPr/>
          <w:p>
            <w:pPr>
              <w:pStyle w:val="Compact"/>
              <w:jc w:val="left"/>
            </w:pPr>
            <w:r>
              <w:t xml:space="preserve">0.231</w:t>
            </w:r>
          </w:p>
        </w:tc>
        <w:tc>
          <w:tcPr/>
          <w:p>
            <w:pPr>
              <w:pStyle w:val="Compact"/>
              <w:jc w:val="left"/>
            </w:pPr>
            <w:r>
              <w:t xml:space="preserve">0.030</w:t>
            </w:r>
          </w:p>
        </w:tc>
        <w:tc>
          <w:tcPr/>
          <w:p>
            <w:pPr>
              <w:pStyle w:val="Compact"/>
              <w:jc w:val="left"/>
            </w:pPr>
            <w:r>
              <w:t xml:space="preserve">rs2884737</w:t>
            </w:r>
          </w:p>
        </w:tc>
        <w:tc>
          <w:tcPr/>
          <w:p>
            <w:pPr>
              <w:pStyle w:val="Compact"/>
              <w:jc w:val="left"/>
            </w:pPr>
            <w:r>
              <w:t xml:space="preserve">0.003</w:t>
            </w:r>
          </w:p>
        </w:tc>
        <w:tc>
          <w:tcPr/>
          <w:p>
            <w:pPr>
              <w:pStyle w:val="Compact"/>
              <w:jc w:val="left"/>
            </w:pPr>
            <w:r>
              <w:t xml:space="preserve">0.015</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0.832</w:t>
            </w:r>
          </w:p>
        </w:tc>
        <w:tc>
          <w:tcPr/>
          <w:p>
            <w:pPr>
              <w:pStyle w:val="Compact"/>
              <w:jc w:val="left"/>
            </w:pPr>
            <w:r>
              <w:t xml:space="preserve">0.168</w:t>
            </w:r>
          </w:p>
        </w:tc>
        <w:tc>
          <w:tcPr/>
          <w:p>
            <w:pPr>
              <w:pStyle w:val="Compact"/>
              <w:jc w:val="left"/>
            </w:pPr>
            <w:r>
              <w:t xml:space="preserve">rs78924645</w:t>
            </w:r>
          </w:p>
        </w:tc>
        <w:tc>
          <w:tcPr/>
          <w:p>
            <w:pPr>
              <w:pStyle w:val="Compact"/>
              <w:jc w:val="left"/>
            </w:pPr>
            <w:r>
              <w:t xml:space="preserve">0.020</w:t>
            </w:r>
          </w:p>
        </w:tc>
        <w:tc>
          <w:tcPr/>
          <w:p>
            <w:pPr>
              <w:pStyle w:val="Compact"/>
              <w:jc w:val="left"/>
            </w:pPr>
            <w:r>
              <w:t xml:space="preserve">0.092</w:t>
            </w:r>
          </w:p>
        </w:tc>
      </w:tr>
      <w:tr>
        <w:tc>
          <w:tcPr/>
          <w:p>
            <w:pPr>
              <w:pStyle w:val="Compact"/>
              <w:jc w:val="left"/>
            </w:pPr>
            <w:r>
              <w:rPr>
                <w:iCs/>
                <w:i/>
              </w:rPr>
              <w:t xml:space="preserve">PRSS36</w:t>
            </w:r>
          </w:p>
        </w:tc>
        <w:tc>
          <w:tcPr/>
          <w:p>
            <w:pPr>
              <w:pStyle w:val="Compact"/>
              <w:jc w:val="left"/>
            </w:pPr>
            <w:r>
              <w:t xml:space="preserve">UKB hyperthyroid</w:t>
            </w:r>
          </w:p>
        </w:tc>
        <w:tc>
          <w:tcPr/>
          <w:p>
            <w:pPr>
              <w:pStyle w:val="Compact"/>
              <w:jc w:val="left"/>
            </w:pPr>
            <w:r>
              <w:t xml:space="preserve">2,577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0.436</w:t>
            </w:r>
          </w:p>
        </w:tc>
        <w:tc>
          <w:tcPr/>
          <w:p>
            <w:pPr>
              <w:pStyle w:val="Compact"/>
              <w:jc w:val="left"/>
            </w:pPr>
            <w:r>
              <w:t xml:space="preserve">0.449</w:t>
            </w:r>
          </w:p>
        </w:tc>
        <w:tc>
          <w:tcPr/>
          <w:p>
            <w:pPr>
              <w:pStyle w:val="Compact"/>
              <w:jc w:val="left"/>
            </w:pPr>
            <w:r>
              <w:t xml:space="preserve">0.115</w:t>
            </w:r>
          </w:p>
        </w:tc>
        <w:tc>
          <w:tcPr/>
          <w:p>
            <w:pPr>
              <w:pStyle w:val="Compact"/>
              <w:jc w:val="left"/>
            </w:pPr>
            <w:r>
              <w:t xml:space="preserve">rs78924645</w:t>
            </w:r>
          </w:p>
        </w:tc>
        <w:tc>
          <w:tcPr/>
          <w:p>
            <w:pPr>
              <w:pStyle w:val="Compact"/>
              <w:jc w:val="left"/>
            </w:pPr>
            <w:r>
              <w:t xml:space="preserve">0.013</w:t>
            </w:r>
          </w:p>
        </w:tc>
        <w:tc>
          <w:tcPr/>
          <w:p>
            <w:pPr>
              <w:pStyle w:val="Compact"/>
              <w:jc w:val="left"/>
            </w:pPr>
            <w:r>
              <w:t xml:space="preserve">0.061</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0.744</w:t>
            </w:r>
          </w:p>
        </w:tc>
        <w:tc>
          <w:tcPr/>
          <w:p>
            <w:pPr>
              <w:pStyle w:val="Compact"/>
              <w:jc w:val="left"/>
            </w:pPr>
            <w:r>
              <w:t xml:space="preserve">0.219</w:t>
            </w:r>
          </w:p>
        </w:tc>
        <w:tc>
          <w:tcPr/>
          <w:p>
            <w:pPr>
              <w:pStyle w:val="Compact"/>
              <w:jc w:val="left"/>
            </w:pPr>
            <w:r>
              <w:t xml:space="preserve">0.037</w:t>
            </w:r>
          </w:p>
        </w:tc>
        <w:tc>
          <w:tcPr/>
          <w:p>
            <w:pPr>
              <w:pStyle w:val="Compact"/>
              <w:jc w:val="left"/>
            </w:pPr>
            <w:r>
              <w:t xml:space="preserve">rs78924645</w:t>
            </w:r>
          </w:p>
        </w:tc>
        <w:tc>
          <w:tcPr/>
          <w:p>
            <w:pPr>
              <w:pStyle w:val="Compact"/>
              <w:jc w:val="left"/>
            </w:pPr>
            <w:r>
              <w:t xml:space="preserve">0.004</w:t>
            </w:r>
          </w:p>
        </w:tc>
        <w:tc>
          <w:tcPr/>
          <w:p>
            <w:pPr>
              <w:pStyle w:val="Compact"/>
              <w:jc w:val="left"/>
            </w:pPr>
            <w:r>
              <w:t xml:space="preserve">0.019</w:t>
            </w:r>
          </w:p>
        </w:tc>
      </w:tr>
    </w:tbl>
    <w:p>
      <w:pPr>
        <w:pStyle w:val="BodyText"/>
      </w:pPr>
      <w:r>
        <w:rPr>
          <w:iCs/>
          <w:i/>
        </w:rPr>
        <w:t xml:space="preserve">No non-known candidate reached shared-variant colocalization (PP.H4 ≥ 0.80) in more than one outcome. TNFSF14 and IFNGR1 colocalized strongly in the BBJ discovery outcome (PP.H4 = 0.994 and 0.989) but not in either replication outcome, and the chromosome 16p11.2 candidates showed only weak or ambiguous colocalization throughout. Because the UKB outcome is the largest of the three (484,598 participants) and ancestry-matched to the eQTL panel, its failure to reproduce the TNFSF14 and IFNGR1 signals is not readily attributed to limited power. Default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At the primary instrument-selection threshold (P &lt; 5×10⁻⁸, r² &lt; 0.001), the European reference yields a single independent instrument (rs179252); additional</w:t>
      </w:r>
      <w:r>
        <w:rPr>
          <w:iCs/>
          <w:i/>
        </w:rPr>
        <w:t xml:space="preserve"> </w:t>
      </w:r>
      <w:r>
        <w:rPr>
          <w:iCs/>
          <w:i/>
        </w:rPr>
        <w:t xml:space="preserve">“</w:t>
      </w:r>
      <w:r>
        <w:rPr>
          <w:iCs/>
          <w:i/>
        </w:rPr>
        <w:t xml:space="preserve">independent</w:t>
      </w:r>
      <w:r>
        <w:rPr>
          <w:iCs/>
          <w:i/>
        </w:rPr>
        <w:t xml:space="preserve">”</w:t>
      </w:r>
      <w:r>
        <w:rPr>
          <w:iCs/>
          <w:i/>
        </w:rPr>
        <w:t xml:space="preserve"> </w:t>
      </w:r>
      <w:r>
        <w:rPr>
          <w:iCs/>
          <w:i/>
        </w:rPr>
        <w:t xml:space="preserve">SNPs appear only at progressively relaxed r² thresholds and reflect the wider LD structure of the locus. Every other lead variant at the locus remained in substantial LD with rs179252 (minimum r² = 0.965 European, 0.808 East Asian), and rs179252 (chr14:81,435,985 hg19; marginal cis-eQTL P = 2.86×10⁻⁴⁰) was retained as the lead variant under all twelve threshold combinations tested. Because r² is invariant to allele coding, this assessment is unaffected by effect-allele orientation.</w:t>
      </w:r>
    </w:p>
    <w:p>
      <w:pPr>
        <w:numPr>
          <w:ilvl w:val="0"/>
          <w:numId w:val="1003"/>
        </w:numPr>
        <w:pStyle w:val="Compact"/>
      </w:pP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2,544 MR-testable genes (6,135 instruments), the minimum F-statistic was 29.7, consistent with the</w:t>
      </w:r>
      <w:r>
        <w:t xml:space="preserve"> </w:t>
      </w:r>
      <w:r>
        <w:rPr>
          <w:iCs/>
          <w:i/>
        </w:rPr>
        <w:t xml:space="preserve">P</w:t>
      </w:r>
      <w:r>
        <w:t xml:space="preserve"> </w:t>
      </w:r>
      <w:r>
        <w:t xml:space="preserve">&lt; 5×10⁻⁸ selection threshold (which implies |</w:t>
      </w:r>
      <w:r>
        <w:rPr>
          <w:iCs/>
          <w:i/>
        </w:rPr>
        <w:t xml:space="preserve">Z</w:t>
      </w:r>
      <w:r>
        <w:t xml:space="preserve">| &gt; 5.45 and therefore</w:t>
      </w:r>
      <w:r>
        <w:t xml:space="preserve"> </w:t>
      </w:r>
      <w:r>
        <w:rPr>
          <w:iCs/>
          <w:i/>
        </w:rPr>
        <w:t xml:space="preserve">F</w:t>
      </w:r>
      <w:r>
        <w:t xml:space="preserve"> </w:t>
      </w:r>
      <w:r>
        <w:t xml:space="preserve">=</w:t>
      </w:r>
      <w:r>
        <w:t xml:space="preserve"> </w:t>
      </w:r>
      <w:r>
        <w:rPr>
          <w:iCs/>
          <w:i/>
        </w:rPr>
        <w:t xml:space="preserve">Z</w:t>
      </w:r>
      <w:r>
        <w:t xml:space="preserve">² &gt; 29.7); no weak instruments were present.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any outcome. Because these hits were discovered in the East Asian outcome, linkage disequilibrium was assessed in the ancestry-matched 1000 Genomes Phase 3 East Asian reference (n = 504), where all three lead variants are in substantial mutual LD (r² = 0.854, 0.761 and 0.863). Conditional analysis (GCTA-COJO, East Asian reference) selected exactly one independent signal at the locus, rs8050588 (P = 1.15×10⁻⁸); conditioning on it collapses all three associations (rs4889606, marginal P = 2.04×10⁻⁷ → conditional P = 0.928; rs34649473, 6.35×10⁻⁷ → 0.839; rs78924645, 2.02×10⁻⁶ → 0.806). Their co-significance in discovery therefore reflects a single regional signal rather than three independent causal effects. In the European reference the corresponding r² values are 0.896, 0.190 and 0.204, which is why the ancestry-matched panel is the appropriate one here.</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are not amenable to instrument-based pleiotropy diagnostics. TSHR is instead supported by colocalization (PP.H4 = 0.951 in BBJ and 0.986 in the TED-enriched outcome) and by LD-clumping sensitivity analysis (Table S3); the single-instrument CTLA4 discovery arm is not, its discovery posterior favouring distinct causal variants (PP.H3 = 0.794, PP.H4 = 0.206), consistent with its role as a positive control rather than a colocalized anchor.</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 detectable effect range)</w:t>
            </w:r>
          </w:p>
        </w:tc>
        <w:tc>
          <w:tcPr/>
          <w:p>
            <w:pPr>
              <w:pStyle w:val="Compact"/>
              <w:jc w:val="left"/>
            </w:pPr>
            <w:r>
              <w:t xml:space="preserve">Results; Tables S4, S8</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Tables S6, S8</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(tissue expression)</w:t>
            </w:r>
          </w:p>
        </w:tc>
        <w:tc>
          <w:tcPr/>
          <w:p>
            <w:pPr>
              <w:pStyle w:val="Compact"/>
              <w:jc w:val="left"/>
            </w:pPr>
            <w:r>
              <w:t xml:space="preserve">Results; Figure 3C</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(blood eQTL vs orbital tissue; European eQTL vs East Asian discovery; broader UKB phenotype; single-IV</w:t>
            </w:r>
            <w:r>
              <w:t xml:space="preserve"> </w:t>
            </w:r>
            <w:r>
              <w:rPr>
                <w:iCs/>
                <w:i/>
              </w:rPr>
              <w:t xml:space="preserve">TSHR</w:t>
            </w:r>
            <w:r>
              <w:t xml:space="preserve">; limited power in the 858-case TED-enriched outcome; TED-enriched outcome is not a within-Graves TED-specific contrast; coloc single-causal-variant assumption and single European allele-frequency reference; no formal colocalization power analysis; non-uniform behaviour of the single positive control; exploratory n = 1-control tissue analysis)</w:t>
            </w:r>
          </w:p>
        </w:tc>
        <w:tc>
          <w:tcPr/>
          <w:p>
            <w:pPr>
              <w:pStyle w:val="Compact"/>
              <w:jc w:val="left"/>
            </w:pPr>
            <w:r>
              <w:t xml:space="preserve">Discussion (limitations paragraph)</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DESeq2 v1.42.1; PLINK v1.9. Reporting follows the STROBE-MR statement (Skrivankova et al., JAMA 2021).</w:t>
      </w:r>
    </w:p>
    <w:p>
      <w:pPr>
        <w:numPr>
          <w:ilvl w:val="0"/>
          <w:numId w:val="1004"/>
        </w:numPr>
      </w:pPr>
      <w:r>
        <w:rPr>
          <w:bCs/>
          <w:b/>
        </w:rPr>
        <w:t xml:space="preserve">Table S8.</w:t>
      </w:r>
      <w:r>
        <w:t xml:space="preserve"> </w:t>
      </w:r>
      <w:r>
        <w:t xml:space="preserve">Detectable effect range of the druggable-gene-wide screen. Minimum effect detectable with 80% power was computed per gene and outcome from the empirical standard error of the primary MR estimate as |β|min = (</w:t>
      </w:r>
      <w:r>
        <w:rPr>
          <w:iCs/>
          <w:i/>
        </w:rPr>
        <w:t xml:space="preserve">z</w:t>
      </w:r>
      <w:r>
        <w:t xml:space="preserve">1−α/2 +</w:t>
      </w:r>
      <w:r>
        <w:t xml:space="preserve"> </w:t>
      </w:r>
      <w:r>
        <w:rPr>
          <w:iCs/>
          <w:i/>
        </w:rPr>
        <w:t xml:space="preserve">z</w:t>
      </w:r>
      <w:r>
        <w:t xml:space="preserve">0.80) × SE, with α = 1.965×10⁻⁵ (discovery) or α = 0.05 (replication, TED-enriched).</w:t>
      </w:r>
    </w:p>
    <w:p>
      <w:pPr>
        <w:numPr>
          <w:ilvl w:val="0"/>
          <w:numId w:val="1000"/>
        </w:numPr>
      </w:pPr>
      <w:r>
        <w:rPr>
          <w:bCs/>
          <w:b/>
        </w:rPr>
        <w:t xml:space="preserve">Panel A. Screen-wide detectable range.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Outcome</w:t>
            </w:r>
          </w:p>
        </w:tc>
        <w:tc>
          <w:tcPr/>
          <w:p>
            <w:pPr>
              <w:pStyle w:val="Compact"/>
              <w:jc w:val="left"/>
            </w:pPr>
            <w:r>
              <w:t xml:space="preserve">Significance threshold</w:t>
            </w:r>
          </w:p>
        </w:tc>
        <w:tc>
          <w:tcPr/>
          <w:p>
            <w:pPr>
              <w:pStyle w:val="Compact"/>
              <w:jc w:val="left"/>
            </w:pPr>
            <w:r>
              <w:t xml:space="preserve">Genes</w:t>
            </w:r>
          </w:p>
        </w:tc>
        <w:tc>
          <w:tcPr/>
          <w:p>
            <w:pPr>
              <w:pStyle w:val="Compact"/>
              <w:jc w:val="left"/>
            </w:pPr>
            <w:r>
              <w:t xml:space="preserve">Median |β|min (IQR)</w:t>
            </w:r>
          </w:p>
        </w:tc>
        <w:tc>
          <w:tcPr/>
          <w:p>
            <w:pPr>
              <w:pStyle w:val="Compact"/>
              <w:jc w:val="left"/>
            </w:pPr>
            <w:r>
              <w:t xml:space="preserve">Median detectable OR (IQR)</w:t>
            </w:r>
          </w:p>
        </w:tc>
        <w:tc>
          <w:tcPr/>
          <w:p>
            <w:pPr>
              <w:pStyle w:val="Compact"/>
              <w:jc w:val="left"/>
            </w:pPr>
            <w:r>
              <w:t xml:space="preserve">Genes powered for OR ≥ 1.5</w:t>
            </w:r>
          </w:p>
        </w:tc>
        <w:tc>
          <w:tcPr/>
          <w:p>
            <w:pPr>
              <w:pStyle w:val="Compact"/>
              <w:jc w:val="left"/>
            </w:pPr>
            <w:r>
              <w:t xml:space="preserve">OR ≥ 2.0</w:t>
            </w:r>
          </w:p>
        </w:tc>
        <w:tc>
          <w:tcPr/>
          <w:p>
            <w:pPr>
              <w:pStyle w:val="Compact"/>
              <w:jc w:val="left"/>
            </w:pPr>
            <w:r>
              <w:t xml:space="preserve">OR ≥ 3.0</w:t>
            </w:r>
          </w:p>
        </w:tc>
      </w:tr>
      <w:tr>
        <w:tc>
          <w:tcPr/>
          <w:p>
            <w:pPr>
              <w:pStyle w:val="Compact"/>
              <w:jc w:val="left"/>
            </w:pPr>
            <w:r>
              <w:t xml:space="preserve">BBJ Graves (discovery)</w:t>
            </w:r>
          </w:p>
        </w:tc>
        <w:tc>
          <w:tcPr/>
          <w:p>
            <w:pPr>
              <w:pStyle w:val="Compact"/>
              <w:jc w:val="left"/>
            </w:pPr>
            <w:r>
              <w:rPr>
                <w:iCs/>
                <w:i/>
              </w:rPr>
              <w:t xml:space="preserve">P</w:t>
            </w:r>
            <w:r>
              <w:t xml:space="preserve"> </w:t>
            </w:r>
            <w:r>
              <w:t xml:space="preserve">&lt; 1.965×10⁻⁵</w:t>
            </w:r>
          </w:p>
        </w:tc>
        <w:tc>
          <w:tcPr/>
          <w:p>
            <w:pPr>
              <w:pStyle w:val="Compact"/>
              <w:jc w:val="left"/>
            </w:pPr>
            <w:r>
              <w:t xml:space="preserve">2,234</w:t>
            </w:r>
          </w:p>
        </w:tc>
        <w:tc>
          <w:tcPr/>
          <w:p>
            <w:pPr>
              <w:pStyle w:val="Compact"/>
              <w:jc w:val="left"/>
            </w:pPr>
            <w:r>
              <w:t xml:space="preserve">0.94 (0.54–1.65)</w:t>
            </w:r>
          </w:p>
        </w:tc>
        <w:tc>
          <w:tcPr/>
          <w:p>
            <w:pPr>
              <w:pStyle w:val="Compact"/>
              <w:jc w:val="left"/>
            </w:pPr>
            <w:r>
              <w:t xml:space="preserve">2.55 (1.71–5.19)</w:t>
            </w:r>
          </w:p>
        </w:tc>
        <w:tc>
          <w:tcPr/>
          <w:p>
            <w:pPr>
              <w:pStyle w:val="Compact"/>
              <w:jc w:val="left"/>
            </w:pPr>
            <w:r>
              <w:t xml:space="preserve">14.6%</w:t>
            </w:r>
          </w:p>
        </w:tc>
        <w:tc>
          <w:tcPr/>
          <w:p>
            <w:pPr>
              <w:pStyle w:val="Compact"/>
              <w:jc w:val="left"/>
            </w:pPr>
            <w:r>
              <w:t xml:space="preserve">35.6%</w:t>
            </w:r>
          </w:p>
        </w:tc>
        <w:tc>
          <w:tcPr/>
          <w:p>
            <w:pPr>
              <w:pStyle w:val="Compact"/>
              <w:jc w:val="left"/>
            </w:pPr>
            <w:r>
              <w:t xml:space="preserve">57.7%</w:t>
            </w:r>
          </w:p>
        </w:tc>
      </w:tr>
      <w:tr>
        <w:tc>
          <w:tcPr/>
          <w:p>
            <w:pPr>
              <w:pStyle w:val="Compact"/>
              <w:jc w:val="left"/>
            </w:pPr>
            <w:r>
              <w:t xml:space="preserve">UKB hyperthyroid (replication)</w:t>
            </w:r>
          </w:p>
        </w:tc>
        <w:tc>
          <w:tcPr/>
          <w:p>
            <w:pPr>
              <w:pStyle w:val="Compact"/>
              <w:jc w:val="left"/>
            </w:pPr>
            <w:r>
              <w:rPr>
                <w:iCs/>
                <w:i/>
              </w:rPr>
              <w:t xml:space="preserve">P</w:t>
            </w:r>
            <w:r>
              <w:t xml:space="preserve"> </w:t>
            </w:r>
            <w:r>
              <w:t xml:space="preserve">&lt; 0.05</w:t>
            </w:r>
          </w:p>
        </w:tc>
        <w:tc>
          <w:tcPr/>
          <w:p>
            <w:pPr>
              <w:pStyle w:val="Compact"/>
              <w:jc w:val="left"/>
            </w:pPr>
            <w:r>
              <w:t xml:space="preserve">2,506</w:t>
            </w:r>
          </w:p>
        </w:tc>
        <w:tc>
          <w:tcPr/>
          <w:p>
            <w:pPr>
              <w:pStyle w:val="Compact"/>
              <w:jc w:val="left"/>
            </w:pPr>
            <w:r>
              <w:t xml:space="preserve">0.38 (0.23–0.65)</w:t>
            </w:r>
          </w:p>
        </w:tc>
        <w:tc>
          <w:tcPr/>
          <w:p>
            <w:pPr>
              <w:pStyle w:val="Compact"/>
              <w:jc w:val="left"/>
            </w:pPr>
            <w:r>
              <w:t xml:space="preserve">1.46 (1.26–1.92)</w:t>
            </w:r>
          </w:p>
        </w:tc>
        <w:tc>
          <w:tcPr/>
          <w:p>
            <w:pPr>
              <w:pStyle w:val="Compact"/>
              <w:jc w:val="left"/>
            </w:pPr>
            <w:r>
              <w:t xml:space="preserve">53.7%</w:t>
            </w:r>
          </w:p>
        </w:tc>
        <w:tc>
          <w:tcPr/>
          <w:p>
            <w:pPr>
              <w:pStyle w:val="Compact"/>
              <w:jc w:val="left"/>
            </w:pPr>
            <w:r>
              <w:t xml:space="preserve">77.4%</w:t>
            </w:r>
          </w:p>
        </w:tc>
        <w:tc>
          <w:tcPr/>
          <w:p>
            <w:pPr>
              <w:pStyle w:val="Compact"/>
              <w:jc w:val="left"/>
            </w:pPr>
            <w:r>
              <w:t xml:space="preserve">93.1%</w:t>
            </w:r>
          </w:p>
        </w:tc>
      </w:tr>
      <w:tr>
        <w:tc>
          <w:tcPr/>
          <w:p>
            <w:pPr>
              <w:pStyle w:val="Compact"/>
              <w:jc w:val="left"/>
            </w:pPr>
            <w:r>
              <w:t xml:space="preserve">FinnGen Graves ophthalmopathy (TED-enriched)</w:t>
            </w:r>
          </w:p>
        </w:tc>
        <w:tc>
          <w:tcPr/>
          <w:p>
            <w:pPr>
              <w:pStyle w:val="Compact"/>
              <w:jc w:val="left"/>
            </w:pPr>
            <w:r>
              <w:rPr>
                <w:iCs/>
                <w:i/>
              </w:rPr>
              <w:t xml:space="preserve">P</w:t>
            </w:r>
            <w:r>
              <w:t xml:space="preserve"> </w:t>
            </w:r>
            <w:r>
              <w:t xml:space="preserve">&lt; 0.05</w:t>
            </w:r>
          </w:p>
        </w:tc>
        <w:tc>
          <w:tcPr/>
          <w:p>
            <w:pPr>
              <w:pStyle w:val="Compact"/>
              <w:jc w:val="left"/>
            </w:pPr>
            <w:r>
              <w:t xml:space="preserve">2,481</w:t>
            </w:r>
          </w:p>
        </w:tc>
        <w:tc>
          <w:tcPr/>
          <w:p>
            <w:pPr>
              <w:pStyle w:val="Compact"/>
              <w:jc w:val="left"/>
            </w:pPr>
            <w:r>
              <w:t xml:space="preserve">0.75 (0.46–1.34)</w:t>
            </w:r>
          </w:p>
        </w:tc>
        <w:tc>
          <w:tcPr/>
          <w:p>
            <w:pPr>
              <w:pStyle w:val="Compact"/>
              <w:jc w:val="left"/>
            </w:pPr>
            <w:r>
              <w:t xml:space="preserve">2.12 (1.58–3.82)</w:t>
            </w:r>
          </w:p>
        </w:tc>
        <w:tc>
          <w:tcPr/>
          <w:p>
            <w:pPr>
              <w:pStyle w:val="Compact"/>
              <w:jc w:val="left"/>
            </w:pPr>
            <w:r>
              <w:t xml:space="preserve">19.4%</w:t>
            </w:r>
          </w:p>
        </w:tc>
        <w:tc>
          <w:tcPr/>
          <w:p>
            <w:pPr>
              <w:pStyle w:val="Compact"/>
              <w:jc w:val="left"/>
            </w:pPr>
            <w:r>
              <w:t xml:space="preserve">45.5%</w:t>
            </w:r>
          </w:p>
        </w:tc>
        <w:tc>
          <w:tcPr/>
          <w:p>
            <w:pPr>
              <w:pStyle w:val="Compact"/>
              <w:jc w:val="left"/>
            </w:pPr>
            <w:r>
              <w:t xml:space="preserve">67.3%</w:t>
            </w:r>
          </w:p>
        </w:tc>
      </w:tr>
    </w:tbl>
    <w:p>
      <w:pPr>
        <w:pStyle w:val="BodyText"/>
      </w:pPr>
      <w:r>
        <w:rPr>
          <w:bCs/>
          <w:b/>
        </w:rPr>
        <w:t xml:space="preserve">Panel B. Backbone genes: observed effect versus gene-specific detection threshold.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Observed β</w:t>
            </w:r>
          </w:p>
        </w:tc>
        <w:tc>
          <w:tcPr/>
          <w:p>
            <w:pPr>
              <w:pStyle w:val="Compact"/>
              <w:jc w:val="left"/>
            </w:pPr>
            <w:r>
              <w:t xml:space="preserve">SE</w:t>
            </w:r>
          </w:p>
        </w:tc>
        <w:tc>
          <w:tcPr/>
          <w:p>
            <w:pPr>
              <w:pStyle w:val="Compact"/>
              <w:jc w:val="left"/>
            </w:pPr>
            <w:r>
              <w:t xml:space="preserve">|β|min (80% power)</w:t>
            </w:r>
          </w:p>
        </w:tc>
        <w:tc>
          <w:tcPr/>
          <w:p>
            <w:pPr>
              <w:pStyle w:val="Compact"/>
              <w:jc w:val="left"/>
            </w:pPr>
            <w:r>
              <w:t xml:space="preserve">Detectable OR</w:t>
            </w:r>
          </w:p>
        </w:tc>
        <w:tc>
          <w:tcPr/>
          <w:p>
            <w:pPr>
              <w:pStyle w:val="Compact"/>
              <w:jc w:val="left"/>
            </w:pPr>
            <w:r>
              <w:t xml:space="preserve">Observed effect detectable?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−2.096</w:t>
            </w:r>
          </w:p>
        </w:tc>
        <w:tc>
          <w:tcPr/>
          <w:p>
            <w:pPr>
              <w:pStyle w:val="Compact"/>
              <w:jc w:val="left"/>
            </w:pPr>
            <w:r>
              <w:t xml:space="preserve">0.271</w:t>
            </w:r>
          </w:p>
        </w:tc>
        <w:tc>
          <w:tcPr/>
          <w:p>
            <w:pPr>
              <w:pStyle w:val="Compact"/>
              <w:jc w:val="left"/>
            </w:pPr>
            <w:r>
              <w:t xml:space="preserve">1.386</w:t>
            </w:r>
          </w:p>
        </w:tc>
        <w:tc>
          <w:tcPr/>
          <w:p>
            <w:pPr>
              <w:pStyle w:val="Compact"/>
              <w:jc w:val="left"/>
            </w:pPr>
            <w:r>
              <w:t xml:space="preserve">4.00</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−2.436</w:t>
            </w:r>
          </w:p>
        </w:tc>
        <w:tc>
          <w:tcPr/>
          <w:p>
            <w:pPr>
              <w:pStyle w:val="Compact"/>
              <w:jc w:val="left"/>
            </w:pPr>
            <w:r>
              <w:t xml:space="preserve">0.223</w:t>
            </w:r>
          </w:p>
        </w:tc>
        <w:tc>
          <w:tcPr/>
          <w:p>
            <w:pPr>
              <w:pStyle w:val="Compact"/>
              <w:jc w:val="left"/>
            </w:pPr>
            <w:r>
              <w:t xml:space="preserve">0.625</w:t>
            </w:r>
          </w:p>
        </w:tc>
        <w:tc>
          <w:tcPr/>
          <w:p>
            <w:pPr>
              <w:pStyle w:val="Compact"/>
              <w:jc w:val="left"/>
            </w:pPr>
            <w:r>
              <w:t xml:space="preserve">1.87</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−2.331</w:t>
            </w:r>
          </w:p>
        </w:tc>
        <w:tc>
          <w:tcPr/>
          <w:p>
            <w:pPr>
              <w:pStyle w:val="Compact"/>
              <w:jc w:val="left"/>
            </w:pPr>
            <w:r>
              <w:t xml:space="preserve">0.454</w:t>
            </w:r>
          </w:p>
        </w:tc>
        <w:tc>
          <w:tcPr/>
          <w:p>
            <w:pPr>
              <w:pStyle w:val="Compact"/>
              <w:jc w:val="left"/>
            </w:pPr>
            <w:r>
              <w:t xml:space="preserve">1.272</w:t>
            </w:r>
          </w:p>
        </w:tc>
        <w:tc>
          <w:tcPr/>
          <w:p>
            <w:pPr>
              <w:pStyle w:val="Compact"/>
              <w:jc w:val="left"/>
            </w:pPr>
            <w:r>
              <w:t xml:space="preserve">3.57</w:t>
            </w:r>
          </w:p>
        </w:tc>
        <w:tc>
          <w:tcPr/>
          <w:p>
            <w:pPr>
              <w:pStyle w:val="Compact"/>
              <w:jc w:val="left"/>
            </w:pPr>
            <w:r>
              <w:t xml:space="preserve">Yes</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+0.446</w:t>
            </w:r>
          </w:p>
        </w:tc>
        <w:tc>
          <w:tcPr/>
          <w:p>
            <w:pPr>
              <w:pStyle w:val="Compact"/>
              <w:jc w:val="left"/>
            </w:pPr>
            <w:r>
              <w:t xml:space="preserve">0.194</w:t>
            </w:r>
          </w:p>
        </w:tc>
        <w:tc>
          <w:tcPr/>
          <w:p>
            <w:pPr>
              <w:pStyle w:val="Compact"/>
              <w:jc w:val="left"/>
            </w:pPr>
            <w:r>
              <w:t xml:space="preserve">0.989</w:t>
            </w:r>
          </w:p>
        </w:tc>
        <w:tc>
          <w:tcPr/>
          <w:p>
            <w:pPr>
              <w:pStyle w:val="Compact"/>
              <w:jc w:val="left"/>
            </w:pPr>
            <w:r>
              <w:t xml:space="preserve">2.69</w:t>
            </w:r>
          </w:p>
        </w:tc>
        <w:tc>
          <w:tcPr/>
          <w:p>
            <w:pPr>
              <w:pStyle w:val="Compact"/>
              <w:jc w:val="left"/>
            </w:pPr>
            <w:r>
              <w:t xml:space="preserve">No</w:t>
            </w:r>
          </w:p>
        </w:tc>
      </w:tr>
      <w:tr>
        <w:tc>
          <w:tcPr/>
          <w:p>
            <w:pPr>
              <w:pStyle w:val="Compact"/>
            </w:pPr>
          </w:p>
        </w:tc>
        <w:tc>
          <w:tcPr/>
          <w:p>
            <w:pPr>
              <w:pStyle w:val="Compact"/>
              <w:jc w:val="left"/>
            </w:pPr>
            <w:r>
              <w:t xml:space="preserve">UKB hyperthyroid</w:t>
            </w:r>
          </w:p>
        </w:tc>
        <w:tc>
          <w:tcPr/>
          <w:p>
            <w:pPr>
              <w:pStyle w:val="Compact"/>
              <w:jc w:val="left"/>
            </w:pPr>
            <w:r>
              <w:t xml:space="preserve">+0.299</w:t>
            </w:r>
          </w:p>
        </w:tc>
        <w:tc>
          <w:tcPr/>
          <w:p>
            <w:pPr>
              <w:pStyle w:val="Compact"/>
              <w:jc w:val="left"/>
            </w:pPr>
            <w:r>
              <w:t xml:space="preserve">0.119</w:t>
            </w:r>
          </w:p>
        </w:tc>
        <w:tc>
          <w:tcPr/>
          <w:p>
            <w:pPr>
              <w:pStyle w:val="Compact"/>
              <w:jc w:val="left"/>
            </w:pPr>
            <w:r>
              <w:t xml:space="preserve">0.333</w:t>
            </w:r>
          </w:p>
        </w:tc>
        <w:tc>
          <w:tcPr/>
          <w:p>
            <w:pPr>
              <w:pStyle w:val="Compact"/>
              <w:jc w:val="left"/>
            </w:pPr>
            <w:r>
              <w:t xml:space="preserve">1.39</w:t>
            </w:r>
          </w:p>
        </w:tc>
        <w:tc>
          <w:tcPr/>
          <w:p>
            <w:pPr>
              <w:pStyle w:val="Compact"/>
              <w:jc w:val="left"/>
            </w:pPr>
            <w:r>
              <w:t xml:space="preserve">No</w:t>
            </w:r>
          </w:p>
        </w:tc>
      </w:tr>
      <w:tr>
        <w:tc>
          <w:tcPr/>
          <w:p>
            <w:pPr>
              <w:pStyle w:val="Compact"/>
            </w:pPr>
          </w:p>
        </w:tc>
        <w:tc>
          <w:tcPr/>
          <w:p>
            <w:pPr>
              <w:pStyle w:val="Compact"/>
              <w:jc w:val="left"/>
            </w:pPr>
            <w:r>
              <w:t xml:space="preserve">FinnGen GO</w:t>
            </w:r>
          </w:p>
        </w:tc>
        <w:tc>
          <w:tcPr/>
          <w:p>
            <w:pPr>
              <w:pStyle w:val="Compact"/>
              <w:jc w:val="left"/>
            </w:pPr>
            <w:r>
              <w:t xml:space="preserve">+0.342</w:t>
            </w:r>
          </w:p>
        </w:tc>
        <w:tc>
          <w:tcPr/>
          <w:p>
            <w:pPr>
              <w:pStyle w:val="Compact"/>
              <w:jc w:val="left"/>
            </w:pPr>
            <w:r>
              <w:t xml:space="preserve">0.256</w:t>
            </w:r>
          </w:p>
        </w:tc>
        <w:tc>
          <w:tcPr/>
          <w:p>
            <w:pPr>
              <w:pStyle w:val="Compact"/>
              <w:jc w:val="left"/>
            </w:pPr>
            <w:r>
              <w:t xml:space="preserve">0.718</w:t>
            </w:r>
          </w:p>
        </w:tc>
        <w:tc>
          <w:tcPr/>
          <w:p>
            <w:pPr>
              <w:pStyle w:val="Compact"/>
              <w:jc w:val="left"/>
            </w:pPr>
            <w:r>
              <w:t xml:space="preserve">2.05</w:t>
            </w:r>
          </w:p>
        </w:tc>
        <w:tc>
          <w:tcPr/>
          <w:p>
            <w:pPr>
              <w:pStyle w:val="Compact"/>
              <w:jc w:val="left"/>
            </w:pPr>
            <w:r>
              <w:t xml:space="preserve">No</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−1.740</w:t>
            </w:r>
          </w:p>
        </w:tc>
        <w:tc>
          <w:tcPr/>
          <w:p>
            <w:pPr>
              <w:pStyle w:val="Compact"/>
              <w:jc w:val="left"/>
            </w:pPr>
            <w:r>
              <w:t xml:space="preserve">0.223</w:t>
            </w:r>
          </w:p>
        </w:tc>
        <w:tc>
          <w:tcPr/>
          <w:p>
            <w:pPr>
              <w:pStyle w:val="Compact"/>
              <w:jc w:val="left"/>
            </w:pPr>
            <w:r>
              <w:t xml:space="preserve">1.137</w:t>
            </w:r>
          </w:p>
        </w:tc>
        <w:tc>
          <w:tcPr/>
          <w:p>
            <w:pPr>
              <w:pStyle w:val="Compact"/>
              <w:jc w:val="left"/>
            </w:pPr>
            <w:r>
              <w:t xml:space="preserve">3.12</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−1.569</w:t>
            </w:r>
          </w:p>
        </w:tc>
        <w:tc>
          <w:tcPr/>
          <w:p>
            <w:pPr>
              <w:pStyle w:val="Compact"/>
              <w:jc w:val="left"/>
            </w:pPr>
            <w:r>
              <w:t xml:space="preserve">0.513</w:t>
            </w:r>
          </w:p>
        </w:tc>
        <w:tc>
          <w:tcPr/>
          <w:p>
            <w:pPr>
              <w:pStyle w:val="Compact"/>
              <w:jc w:val="left"/>
            </w:pPr>
            <w:r>
              <w:t xml:space="preserve">1.436</w:t>
            </w:r>
          </w:p>
        </w:tc>
        <w:tc>
          <w:tcPr/>
          <w:p>
            <w:pPr>
              <w:pStyle w:val="Compact"/>
              <w:jc w:val="left"/>
            </w:pPr>
            <w:r>
              <w:t xml:space="preserve">4.20</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−1.768</w:t>
            </w:r>
          </w:p>
        </w:tc>
        <w:tc>
          <w:tcPr/>
          <w:p>
            <w:pPr>
              <w:pStyle w:val="Compact"/>
              <w:jc w:val="left"/>
            </w:pPr>
            <w:r>
              <w:t xml:space="preserve">0.702</w:t>
            </w:r>
          </w:p>
        </w:tc>
        <w:tc>
          <w:tcPr/>
          <w:p>
            <w:pPr>
              <w:pStyle w:val="Compact"/>
              <w:jc w:val="left"/>
            </w:pPr>
            <w:r>
              <w:t xml:space="preserve">1.968</w:t>
            </w:r>
          </w:p>
        </w:tc>
        <w:tc>
          <w:tcPr/>
          <w:p>
            <w:pPr>
              <w:pStyle w:val="Compact"/>
              <w:jc w:val="left"/>
            </w:pPr>
            <w:r>
              <w:t xml:space="preserve">7.15</w:t>
            </w:r>
          </w:p>
        </w:tc>
        <w:tc>
          <w:tcPr/>
          <w:p>
            <w:pPr>
              <w:pStyle w:val="Compact"/>
              <w:jc w:val="left"/>
            </w:pPr>
            <w:r>
              <w:t xml:space="preserve">No</w:t>
            </w:r>
          </w:p>
        </w:tc>
      </w:tr>
    </w:tbl>
    <w:p>
      <w:pPr>
        <w:pStyle w:val="BodyText"/>
      </w:pPr>
      <w:r>
        <w:rPr>
          <w:iCs/>
          <w:i/>
        </w:rPr>
        <w:t xml:space="preserve">The screen was well powered for large expression-mediated effects and recovered both established anchors (TSHR, CTLA4) at magnitudes exceeding their gene-specific thresholds. IGF1R effects fell below the corresponding thresholds in every outcome, so the absence of study-wide significance at IGF1R is expected for an effect of this size and is not evidence against a genetic contribution; IGF1R was therefore evaluated as a backbone gene across multiple evidence layers rather than on discovery significance alone. Conversely, the absence of a qualifying novel candidate constrains additional large, expression-colocalized druggable effects but not moderate ones. Values are computed from the standard errors of the locked primary MR estimates (reproduced by</w:t>
      </w:r>
      <w:r>
        <w:rPr>
          <w:iCs/>
          <w:i/>
        </w:rPr>
        <w:t xml:space="preserve"> </w:t>
      </w:r>
      <w:r>
        <w:rPr>
          <w:rStyle w:val="VerbatimChar"/>
          <w:iCs/>
          <w:i/>
        </w:rPr>
        <w:t xml:space="preserve">scripts/22_power_analysis_null_screen.py</w:t>
      </w:r>
      <w:r>
        <w:rPr>
          <w:iCs/>
          <w:i/>
        </w:rPr>
        <w:t xml:space="preserve">).</w:t>
      </w:r>
    </w:p>
    <w:p>
      <w:pPr>
        <w:pStyle w:val="BodyText"/>
      </w:pPr>
      <w:r>
        <w:rPr>
          <w:bCs/>
          <w:b/>
        </w:rPr>
        <w:t xml:space="preserve">Supplementary Figures</w:t>
      </w:r>
    </w:p>
    <w:p>
      <w:pPr>
        <w:pStyle w:val="BodyText"/>
      </w:pPr>
      <w:r>
        <w:rPr>
          <w:bCs/>
          <w:b/>
        </w:rPr>
        <w:t xml:space="preserve">Figure S1. Orbital tissue transcript abundance for the backbone genes (descriptive).</w:t>
      </w:r>
      <w:r>
        <w:t xml:space="preserve"> </w:t>
      </w:r>
      <w:r>
        <w:t xml:space="preserve">Normalized transcript abundance (TPM) for</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in the in-house orbital dataset (four TED samples, one control), with technical-replicate libraries collapsed to the biological-sample level. Because the dataset contains a single control, control-side biological variance cannot be estimated and no differential-expression inference is drawn; the panel is shown as a descriptive observation only and no conclusion in this study depends on it. Fold changes relative to the control sample were +2.33 (</w:t>
      </w:r>
      <w:r>
        <w:rPr>
          <w:iCs/>
          <w:i/>
        </w:rPr>
        <w:t xml:space="preserve">TSHR</w:t>
      </w:r>
      <w:r>
        <w:t xml:space="preserve">), +0.41 (</w:t>
      </w:r>
      <w:r>
        <w:rPr>
          <w:iCs/>
          <w:i/>
        </w:rPr>
        <w:t xml:space="preserve">IGF1R</w:t>
      </w:r>
      <w:r>
        <w:t xml:space="preserve">) and +1.27 (</w:t>
      </w:r>
      <w:r>
        <w:rPr>
          <w:iCs/>
          <w:i/>
        </w:rPr>
        <w:t xml:space="preserve">CTLA4</w:t>
      </w:r>
      <w:r>
        <w:t xml:space="preserve">) on a log2 scale. Panels use gene-specific y-axis scales.</w:t>
      </w:r>
    </w:p>
    <w:p>
      <w:pPr>
        <w:pStyle w:val="BodyText"/>
      </w:pPr>
      <w:r>
        <w:rPr>
          <w:bCs/>
          <w:b/>
        </w:rPr>
        <w:t xml:space="preserve">Figure S2. Candidate colocalization across all three outcomes.</w:t>
      </w:r>
      <w:r>
        <w:t xml:space="preserve"> </w:t>
      </w:r>
      <w:r>
        <w:t xml:space="preserve">Stacked posterior probabilities (coloc.abf) for the six non-known candidate genes against each outcome, plotted as in Figure 3A.</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 strongly with the BBJ discovery signal (PP.H4 = 0.994 and 0.989) but reproduce in neither replication outcome (UKB 0.237 and 0.052; FinnGen 0.017 and 0.020). Because UKB is the largest of the three outcomes and ancestry-matched to the eQTL panel, this failure is not readily attributed to limited power. The chromosome 16p11.2 candidates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show only weak or ambiguous colocalization throughout, and</w:t>
      </w:r>
      <w:r>
        <w:t xml:space="preserve"> </w:t>
      </w:r>
      <w:r>
        <w:rPr>
          <w:iCs/>
          <w:i/>
        </w:rPr>
        <w:t xml:space="preserve">MAPKAPK5</w:t>
      </w:r>
      <w:r>
        <w:t xml:space="preserve"> </w:t>
      </w:r>
      <w:r>
        <w:t xml:space="preserve">is PP.H3-dominant in discovery. No candidate reached the shared-variant threshold in more than one outcome.</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2026-09-04T07:05:45Z</dcterms:created>
  <dcterms:modified xsi:type="dcterms:W3CDTF">2026-09-04T07:05:45Z</dcterms:modified>
</cp:coreProperties>
</file>

<file path=docProps/custom.xml><?xml version="1.0" encoding="utf-8"?>
<Properties xmlns="http://schemas.openxmlformats.org/officeDocument/2006/custom-properties" xmlns:vt="http://schemas.openxmlformats.org/officeDocument/2006/docPropsVTypes"/>
</file>