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Cs/>
          <w:b/>
        </w:rPr>
        <w:t xml:space="preserve">Running head:</w:t>
      </w:r>
      <w:r>
        <w:t xml:space="preserve"> </w:t>
      </w:r>
      <w:r>
        <w:t xml:space="preserve">TSHR and IGF1R genetics in Graves disease</w:t>
      </w:r>
    </w:p>
    <w:bookmarkStart w:id="39"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bookmarkStart w:id="20" w:name="abstract"/>
    <w:p>
      <w:pPr>
        <w:pStyle w:val="Heading2"/>
        <w:pageBreakBefore/>
        <w:widowControl/>
      </w:pPr>
      <w:r>
        <w:t xml:space="preserve">Abstract</w:t>
      </w:r>
    </w:p>
    <w:p>
      <w:pPr>
        <w:pStyle w:val="FirstParagraph"/>
        <w:widowControl/>
      </w:pPr>
      <w:r>
        <w:rPr>
          <w:bCs/>
          <w:b/>
        </w:rPr>
        <w:t xml:space="preserve">Objective:</w:t>
      </w:r>
      <w:r>
        <w:t xml:space="preserve"> </w:t>
      </w:r>
      <w:r>
        <w:t xml:space="preserve">Graves disease (GD) is an autoimmune cause of hyperthyroidism; thyroid eye disease (TED) is an associated inflammatory orbital disorder. We compared genetic evidence linking blood</w:t>
      </w:r>
      <w:r>
        <w:t xml:space="preserve"> </w:t>
      </w:r>
      <w:r>
        <w:rPr>
          <w:iCs/>
          <w:i/>
        </w:rPr>
        <w:t xml:space="preserve">TSHR</w:t>
      </w:r>
      <w:r>
        <w:t xml:space="preserve"> </w:t>
      </w:r>
      <w:r>
        <w:t xml:space="preserve">and</w:t>
      </w:r>
      <w:r>
        <w:t xml:space="preserve"> </w:t>
      </w:r>
      <w:r>
        <w:rPr>
          <w:iCs/>
          <w:i/>
        </w:rPr>
        <w:t xml:space="preserve">IGF1R</w:t>
      </w:r>
      <w:r>
        <w:t xml:space="preserve"> </w:t>
      </w:r>
      <w:r>
        <w:t xml:space="preserve">expression to disease susceptibility.</w:t>
      </w:r>
      <w:r>
        <w:t xml:space="preserve"> </w:t>
      </w:r>
      <w:r>
        <w:rPr>
          <w:bCs/>
          <w:b/>
        </w:rPr>
        <w:t xml:space="preserve">Methods:</w:t>
      </w:r>
      <w:r>
        <w:t xml:space="preserve"> </w:t>
      </w:r>
      <w:r>
        <w:t xml:space="preserve">We screened 2,544 druggable genes using Wald-ratio or inverse-variance-weighted Mendelian randomization and colocalization, testing for shared expression–disease variants. Outcomes were Biobank Japan (BBJ) GD, UK Biobank (UKB) hyperthyroidism and FinnGen Graves ophthalmopathy. In-house orbital tissue RNA sequencing (four TED patients, one control) was summarized by transcript levels and fold changes without significance testing.</w:t>
      </w:r>
      <w:r>
        <w:t xml:space="preserve"> </w:t>
      </w:r>
      <w:r>
        <w:rPr>
          <w:bCs/>
          <w:b/>
        </w:rPr>
        <w:t xml:space="preserve">Results:</w:t>
      </w:r>
      <w:r>
        <w:t xml:space="preserve"> </w:t>
      </w:r>
      <w:r>
        <w:t xml:space="preserve">Higher genetically proxied</w:t>
      </w:r>
      <w:r>
        <w:t xml:space="preserve"> </w:t>
      </w:r>
      <w:r>
        <w:rPr>
          <w:iCs/>
          <w:i/>
        </w:rPr>
        <w:t xml:space="preserve">TSHR</w:t>
      </w:r>
      <w:r>
        <w:t xml:space="preserve"> </w:t>
      </w:r>
      <w:r>
        <w:t xml:space="preserve">expression was associated with lower GD odds;</w:t>
      </w:r>
      <w:r>
        <w:t xml:space="preserve"> </w:t>
      </w:r>
      <w:r>
        <w:rPr>
          <w:iCs/>
          <w:i/>
        </w:rPr>
        <w:t xml:space="preserve">IGF1R</w:t>
      </w:r>
      <w:r>
        <w:t xml:space="preserve"> </w:t>
      </w:r>
      <w:r>
        <w:t xml:space="preserve">findings were less conclusive. Thirteen genes met the multiple-testing threshold. Per approximately one standard deviation higher blood</w:t>
      </w:r>
      <w:r>
        <w:t xml:space="preserve"> </w:t>
      </w:r>
      <w:r>
        <w:rPr>
          <w:iCs/>
          <w:i/>
        </w:rPr>
        <w:t xml:space="preserve">TSHR</w:t>
      </w:r>
      <w:r>
        <w:t xml:space="preserve"> </w:t>
      </w:r>
      <w:r>
        <w:t xml:space="preserve">expression, the BBJ odds ratio (OR) was 0.12 (95% confidence interval [CI] 0.07–0.21;</w:t>
      </w:r>
      <w:r>
        <w:t xml:space="preserve"> </w:t>
      </w:r>
      <w:r>
        <w:rPr>
          <w:iCs/>
          <w:i/>
        </w:rPr>
        <w:t xml:space="preserve">P</w:t>
      </w:r>
      <w:r>
        <w:t xml:space="preserve"> </w:t>
      </w:r>
      <w:r>
        <w:t xml:space="preserve">= 1.09×10⁻¹⁴), with matching directions in UKB and FinnGen. Shared-variant support was strong in BBJ and FinnGen, but not UKB; BBJ support fell below threshold when shared variants were assumed less likely.</w:t>
      </w:r>
      <w:r>
        <w:t xml:space="preserve"> </w:t>
      </w:r>
      <w:r>
        <w:rPr>
          <w:iCs/>
          <w:i/>
        </w:rPr>
        <w:t xml:space="preserve">IGF1R</w:t>
      </w:r>
      <w:r>
        <w:t xml:space="preserve"> </w:t>
      </w:r>
      <w:r>
        <w:t xml:space="preserve">did not meet the discovery threshold or show strong shared-variant support. Associations reached</w:t>
      </w:r>
      <w:r>
        <w:t xml:space="preserve"> </w:t>
      </w:r>
      <w:r>
        <w:rPr>
          <w:iCs/>
          <w:i/>
        </w:rPr>
        <w:t xml:space="preserve">P</w:t>
      </w:r>
      <w:r>
        <w:t xml:space="preserve"> </w:t>
      </w:r>
      <w:r>
        <w:t xml:space="preserve">&lt; 0.05 in BBJ (OR 1.56, 95% CI 1.07–2.28;</w:t>
      </w:r>
      <w:r>
        <w:t xml:space="preserve"> </w:t>
      </w:r>
      <w:r>
        <w:rPr>
          <w:iCs/>
          <w:i/>
        </w:rPr>
        <w:t xml:space="preserve">P</w:t>
      </w:r>
      <w:r>
        <w:t xml:space="preserve"> </w:t>
      </w:r>
      <w:r>
        <w:t xml:space="preserve">= 0.0212) and UKB (</w:t>
      </w:r>
      <w:r>
        <w:rPr>
          <w:iCs/>
          <w:i/>
        </w:rPr>
        <w:t xml:space="preserve">P</w:t>
      </w:r>
      <w:r>
        <w:t xml:space="preserve"> </w:t>
      </w:r>
      <w:r>
        <w:t xml:space="preserve">= 0.0117), but were inconclusive in FinnGen (</w:t>
      </w:r>
      <w:r>
        <w:rPr>
          <w:iCs/>
          <w:i/>
        </w:rPr>
        <w:t xml:space="preserve">P</w:t>
      </w:r>
      <w:r>
        <w:t xml:space="preserve"> </w:t>
      </w:r>
      <w:r>
        <w:t xml:space="preserve">= 0.182). No additional gene had strong shared-variant support in BBJ and FinnGen. Using cohort allele frequencies preserved these findings.</w:t>
      </w:r>
      <w:r>
        <w:t xml:space="preserve"> </w:t>
      </w:r>
      <w:r>
        <w:rPr>
          <w:bCs/>
          <w:b/>
        </w:rPr>
        <w:t xml:space="preserve">Conclusions:</w:t>
      </w:r>
      <w:r>
        <w:t xml:space="preserve"> </w:t>
      </w:r>
      <w:r>
        <w:t xml:space="preserve">Evidence linking genetically proxied blood expression to GD susceptibility was stronger for</w:t>
      </w:r>
      <w:r>
        <w:t xml:space="preserve"> </w:t>
      </w:r>
      <w:r>
        <w:rPr>
          <w:iCs/>
          <w:i/>
        </w:rPr>
        <w:t xml:space="preserve">TSHR</w:t>
      </w:r>
      <w:r>
        <w:t xml:space="preserve"> </w:t>
      </w:r>
      <w:r>
        <w:t xml:space="preserve">than</w:t>
      </w:r>
      <w:r>
        <w:t xml:space="preserve"> </w:t>
      </w:r>
      <w:r>
        <w:rPr>
          <w:iCs/>
          <w:i/>
        </w:rPr>
        <w:t xml:space="preserve">IGF1R</w:t>
      </w:r>
      <w:r>
        <w:t xml:space="preserve">. This neither establishes a TED-specific effect within GD nor predicts treatment response.</w:t>
      </w:r>
    </w:p>
    <w:p>
      <w:pPr>
        <w:pStyle w:val="BodyText"/>
        <w:widowControl/>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bookmarkEnd w:id="20"/>
    <w:bookmarkStart w:id="21"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Cs/>
          <w:i/>
        </w:rPr>
        <w:t xml:space="preserve">IGF1R</w:t>
      </w:r>
      <w:r>
        <w:t xml:space="preserve"> </w:t>
      </w:r>
      <w:r>
        <w:t xml:space="preserve">expression contribute to disease susceptibility in the same way as variation at</w:t>
      </w:r>
      <w:r>
        <w:t xml:space="preserve"> </w:t>
      </w:r>
      <w:r>
        <w:rPr>
          <w:iCs/>
          <w:i/>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 because the genetic variants a person inherits are assigned at conception in a way that mimics the random allocation of treatments in a clinical trial, this approach can support cause-and-effect inference without the confounding that affects ordinary observational studies. Colocalization is a complementary analysis that asks whether the exposure and disease associations at a locus are consistent with the same underlying genetic variant [8] — two signals that sit near each other in a region of the genome can look connected simply because they are inherited together, rather than because they reflect one shared causal variant, and colocalization checks which explanation the data actually support. This additional check matters because, without it, an exposure–disease association found by MR could reflect such a linked-but-distinct pair of signals rather than a truly shared one. The two analyses also report different kinds of numbers: MR results appear as odds ratios (ORs) with 95% confidence intervals and</w:t>
      </w:r>
      <w:r>
        <w:t xml:space="preserve"> </w:t>
      </w:r>
      <w:r>
        <w:rPr>
          <w:iCs/>
          <w:i/>
        </w:rPr>
        <w:t xml:space="preserve">P</w:t>
      </w:r>
      <w:r>
        <w:t xml:space="preserve"> </w:t>
      </w:r>
      <w:r>
        <w:t xml:space="preserve">values, in the same format as a standard clinical association study, while colocalization results appear instead as a posterior probability that the two signals share one causal variant — a different kind of number, and not a</w:t>
      </w:r>
      <w:r>
        <w:t xml:space="preserve"> </w:t>
      </w:r>
      <w:r>
        <w:rPr>
          <w:iCs/>
          <w:i/>
        </w:rPr>
        <w:t xml:space="preserve">P</w:t>
      </w:r>
      <w:r>
        <w:t xml:space="preserve"> </w:t>
      </w:r>
      <w:r>
        <w:t xml:space="preserve">value. Prior MR and multi-omics studies have investigated molecular contributors to GD [9, 10], but the comparison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remains clinically relevant.</w:t>
      </w:r>
    </w:p>
    <w:p>
      <w:pPr>
        <w:pStyle w:val="BodyText"/>
        <w:widowControl/>
      </w:pPr>
      <w:r>
        <w:t xml:space="preserve">Here, we used blood gene expression as the exposure and screened genes considered potentially druggable — that is, genes encoding proteins, such as receptors or enzymes, that are plausible targets for an existing or future drug — comparing</w:t>
      </w:r>
      <w:r>
        <w:t xml:space="preserve"> </w:t>
      </w:r>
      <w:r>
        <w:rPr>
          <w:iCs/>
          <w:i/>
        </w:rPr>
        <w:t xml:space="preserve">TSHR</w:t>
      </w:r>
      <w:r>
        <w:t xml:space="preserve">,</w:t>
      </w:r>
      <w:r>
        <w:t xml:space="preserve"> </w:t>
      </w:r>
      <w:r>
        <w:rPr>
          <w:iCs/>
          <w:i/>
        </w:rPr>
        <w:t xml:space="preserve">IGF1R</w:t>
      </w:r>
      <w:r>
        <w:t xml:space="preserve"> </w:t>
      </w:r>
      <w:r>
        <w:t xml:space="preserve">and the known autoimmune gene</w:t>
      </w:r>
      <w:r>
        <w:t xml:space="preserve"> </w:t>
      </w:r>
      <w:r>
        <w:rPr>
          <w:iCs/>
          <w:i/>
        </w:rPr>
        <w:t xml:space="preserve">CTLA4</w:t>
      </w:r>
      <w:r>
        <w:t xml:space="preserve"> </w:t>
      </w:r>
      <w:r>
        <w:t xml:space="preserve">by both MR and colocalization. Our primary question was whether genetically proxied expression — a person’s blood gene-expression level as predicted from their own inherited genetic variants, used as a stand-in for a measurement that was not taken directly — was associated with GD and supported by a shared expression–disease variant. We then assessed broader hyperthyroidism and a Graves ophthalmopathy outcome. A small in-house orbital RNA-sequencing dataset (four TED samples and one control) is reported alongside these analyses as descriptive context only; with a single control it supports no statistical comparison, and no genetic conclusion rests on it. The study was designed to inform interpretation of genetic target evidence; it did not test a treatment or directly compare GD patients with and without TED.</w:t>
      </w:r>
    </w:p>
    <w:bookmarkEnd w:id="21"/>
    <w:bookmarkStart w:id="25" w:name="methods"/>
    <w:p>
      <w:pPr>
        <w:pStyle w:val="Heading2"/>
        <w:widowControl/>
      </w:pPr>
      <w:r>
        <w:t xml:space="preserve">Methods</w:t>
      </w:r>
    </w:p>
    <w:bookmarkStart w:id="22"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the number contributing to each variant varied widely (median 28,092, range 232–31,684).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on biological and therapeutic grounds and evaluated them across all outcomes, regardless of discovery significance.</w:t>
      </w:r>
    </w:p>
    <w:bookmarkEnd w:id="22"/>
    <w:bookmarkStart w:id="23"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Cs/>
          <w:i/>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well above the conventional threshold of 10.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Cs/>
          <w:i/>
        </w:rPr>
        <w:t xml:space="preserve">P</w:t>
      </w:r>
      <w:r>
        <w:t xml:space="preserve"> </w:t>
      </w:r>
      <w:r>
        <w:t xml:space="preserve">values. ORs are per approximately one standard deviation higher genetically proxied blood expression, because the reconstruction assumes an expression variance of one; the genetic predictor itself is not standardized. The estimates are not per drug dose and should not be interpreted as expected treatment effects. Discovery significance required</w:t>
      </w:r>
      <w:r>
        <w:t xml:space="preserve"> </w:t>
      </w:r>
      <w:r>
        <w:rPr>
          <w:iCs/>
          <w:i/>
        </w:rPr>
        <w:t xml:space="preserve">P</w:t>
      </w:r>
      <w:r>
        <w:t xml:space="preserve"> </w:t>
      </w:r>
      <w:r>
        <w:t xml:space="preserve">&lt; 1.965×10⁻⁵, correcting for 2,544 eligible genes. This Bonferroni correction is conservative when gene-level tests are correlated. Associations at</w:t>
      </w:r>
      <w:r>
        <w:t xml:space="preserve"> </w:t>
      </w:r>
      <w:r>
        <w:rPr>
          <w:iCs/>
          <w:i/>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Cs/>
          <w:i/>
        </w:rPr>
        <w:t xml:space="preserve">P</w:t>
      </w:r>
      <w:r>
        <w:t xml:space="preserve"> </w:t>
      </w:r>
      <w:r>
        <w:t xml:space="preserve">value nor colocalization proves these assumptions. Single-instrument results, including</w:t>
      </w:r>
      <w:r>
        <w:t xml:space="preserve"> </w:t>
      </w:r>
      <w:r>
        <w:rPr>
          <w:iCs/>
          <w:i/>
        </w:rPr>
        <w:t xml:space="preserve">TSHR</w:t>
      </w:r>
      <w:r>
        <w:t xml:space="preserve">, cannot undergo instrument-based tests of pleiotropy. We did not perform a formal genetic directionality test [23]. The reporting checklist records other analyses that were unavailable or not undertaken.</w:t>
      </w:r>
    </w:p>
    <w:bookmarkEnd w:id="23"/>
    <w:bookmarkStart w:id="24"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Cs/>
          <w:i/>
        </w:rPr>
        <w:t xml:space="preserve">P</w:t>
      </w:r>
      <w:r>
        <w:t xml:space="preserve"> </w:t>
      </w:r>
      <w:r>
        <w:t xml:space="preserve">value. We report it alongside the MR results and tested more conservative assumptions (Figure 3B; Supplementary Data 3)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Cs/>
          <w:i/>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estimates and detectable effect sizes were compared with the primary analysis in Tables S2–S3, and all colocalization scenarios in Supplementary Data 3.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Cs/>
          <w:i/>
        </w:rPr>
        <w:t xml:space="preserve">P</w:t>
      </w:r>
      <w:r>
        <w:t xml:space="preserve"> </w:t>
      </w:r>
      <w:r>
        <w:t xml:space="preserve">values were calculated for this manuscript. Technical replicates were combined at the biological-sample level.</w:t>
      </w:r>
    </w:p>
    <w:p>
      <w:pPr>
        <w:pStyle w:val="BodyText"/>
        <w:widowControl/>
      </w:pPr>
      <w:r>
        <w:t xml:space="preserve">We additionally performed a post hoc leave-one-out analysis for the three selected genes, omitting each retained SNP in turn where at least two instruments were available (Figure S2; Supplementary Data 6). This assessed sensitivity to individual instruments rather than providing independent replication.</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1–6. No prospective study registration was available.</w:t>
      </w:r>
    </w:p>
    <w:bookmarkEnd w:id="24"/>
    <w:bookmarkEnd w:id="25"/>
    <w:bookmarkStart w:id="31" w:name="results"/>
    <w:p>
      <w:pPr>
        <w:pStyle w:val="Heading2"/>
        <w:widowControl/>
      </w:pPr>
      <w:r>
        <w:t xml:space="preserve">Results</w:t>
      </w:r>
    </w:p>
    <w:bookmarkStart w:id="26"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The 310 genes without an estimable BBJ result were not treated as negative findings. Thirteen genes met the BBJ discovery threshold: seven were associated with lower odds and six with higher odds of disease (Table 3; Figure 1). They comprised</w:t>
      </w:r>
      <w:r>
        <w:t xml:space="preserve"> </w:t>
      </w:r>
      <w:r>
        <w:rPr>
          <w:iCs/>
          <w:i/>
        </w:rPr>
        <w:t xml:space="preserve">TSHR</w:t>
      </w:r>
      <w:r>
        <w:t xml:space="preserve">,</w:t>
      </w:r>
      <w:r>
        <w:t xml:space="preserve"> </w:t>
      </w:r>
      <w:r>
        <w:rPr>
          <w:iCs/>
          <w:i/>
        </w:rPr>
        <w:t xml:space="preserve">CTLA4</w:t>
      </w:r>
      <w:r>
        <w:t xml:space="preserve">, five genes in the major histocompatibility complex (MHC) and six additional candidates, so the discovery signal was not confined to the MHC region. The three genes selected on biological and therapeutic grounds are compared in Table 2 and Figure 2, which aligns each effect estimate with the corresponding shared-variant evidence.</w:t>
      </w:r>
    </w:p>
    <w:bookmarkEnd w:id="26"/>
    <w:bookmarkStart w:id="27" w:name="tshr"/>
    <w:p>
      <w:pPr>
        <w:pStyle w:val="Heading3"/>
        <w:widowControl/>
      </w:pPr>
      <w:r>
        <w:t xml:space="preserve">TSHR</w:t>
      </w:r>
    </w:p>
    <w:p>
      <w:pPr>
        <w:pStyle w:val="FirstParagraph"/>
        <w:widowControl/>
      </w:pPr>
      <w:r>
        <w:t xml:space="preserve">Higher genetically proxied blood</w:t>
      </w:r>
      <w:r>
        <w:t xml:space="preserve"> </w:t>
      </w:r>
      <w:r>
        <w:rPr>
          <w:iCs/>
          <w:i/>
        </w:rPr>
        <w:t xml:space="preserve">TSHR</w:t>
      </w:r>
      <w:r>
        <w:t xml:space="preserve"> </w:t>
      </w:r>
      <w:r>
        <w:t xml:space="preserve">expression was associated with lower odds of BBJ GD (OR 0.12, 95% CI 0.07–0.21;</w:t>
      </w:r>
      <w:r>
        <w:t xml:space="preserve"> </w:t>
      </w:r>
      <w:r>
        <w:rPr>
          <w:iCs/>
          <w:i/>
        </w:rPr>
        <w:t xml:space="preserve">P</w:t>
      </w:r>
      <w:r>
        <w:t xml:space="preserve"> </w:t>
      </w:r>
      <w:r>
        <w:t xml:space="preserve">= 1.09×10⁻¹⁴). Estimates had the same direction in UKB (OR 0.09, 95% CI 0.06–0.14;</w:t>
      </w:r>
      <w:r>
        <w:t xml:space="preserve"> </w:t>
      </w:r>
      <w:r>
        <w:rPr>
          <w:iCs/>
          <w:i/>
        </w:rPr>
        <w:t xml:space="preserve">P</w:t>
      </w:r>
      <w:r>
        <w:t xml:space="preserve"> </w:t>
      </w:r>
      <w:r>
        <w:t xml:space="preserve">= 8.77×10⁻²⁸) and FinnGen (OR 0.10, 95% CI 0.04–0.24;</w:t>
      </w:r>
      <w:r>
        <w:t xml:space="preserve"> </w:t>
      </w:r>
      <w:r>
        <w:rPr>
          <w:iCs/>
          <w:i/>
        </w:rPr>
        <w:t xml:space="preserve">P</w:t>
      </w:r>
      <w:r>
        <w:t xml:space="preserve"> </w:t>
      </w:r>
      <w:r>
        <w:t xml:space="preserve">= 2.82×10⁻⁷).</w:t>
      </w:r>
    </w:p>
    <w:p>
      <w:pPr>
        <w:pStyle w:val="BodyText"/>
        <w:widowControl/>
      </w:pPr>
      <w:r>
        <w:t xml:space="preserve">Under the primary prior, expression and disease showed strong shared-variant support in BBJ and FinnGen (0.951 and 0.986), with rs179252 the highest-probability variant conditional on the shared-variant model in both. UKB did not, at 0.226, even though it carried the strongest MR association of the three outcomes; under the single-causal-variant model its posterior favoured distinct variants (PP.H3 = 0.774), which does not establish the number of independent regional signals (Figure 2). A highly significant MR result therefore did not by itself establish a shared genetic signal in every outcome. Substituting cohort allele frequencies did not resolve the discordance.</w:t>
      </w:r>
    </w:p>
    <w:bookmarkEnd w:id="27"/>
    <w:bookmarkStart w:id="28" w:name="igf1r"/>
    <w:p>
      <w:pPr>
        <w:pStyle w:val="Heading3"/>
        <w:widowControl/>
      </w:pPr>
      <w:r>
        <w:t xml:space="preserve">IGF1R</w:t>
      </w:r>
    </w:p>
    <w:p>
      <w:pPr>
        <w:pStyle w:val="FirstParagraph"/>
        <w:widowControl/>
      </w:pPr>
      <w:r>
        <w:t xml:space="preserve">Higher genetically proxied</w:t>
      </w:r>
      <w:r>
        <w:t xml:space="preserve"> </w:t>
      </w:r>
      <w:r>
        <w:rPr>
          <w:iCs/>
          <w:i/>
        </w:rPr>
        <w:t xml:space="preserve">IGF1R</w:t>
      </w:r>
      <w:r>
        <w:t xml:space="preserve"> </w:t>
      </w:r>
      <w:r>
        <w:t xml:space="preserve">expression was associated with higher odds of BBJ GD (OR 1.56, 95% CI 1.07–2.28;</w:t>
      </w:r>
      <w:r>
        <w:t xml:space="preserve"> </w:t>
      </w:r>
      <w:r>
        <w:rPr>
          <w:iCs/>
          <w:i/>
        </w:rPr>
        <w:t xml:space="preserve">P</w:t>
      </w:r>
      <w:r>
        <w:t xml:space="preserve"> </w:t>
      </w:r>
      <w:r>
        <w:t xml:space="preserve">= 0.0212) and UKB hyperthyroidism (OR 1.35, 95% CI 1.07–1.70;</w:t>
      </w:r>
      <w:r>
        <w:t xml:space="preserve"> </w:t>
      </w:r>
      <w:r>
        <w:rPr>
          <w:iCs/>
          <w:i/>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Cs/>
          <w:i/>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w:t>
      </w:r>
    </w:p>
    <w:p>
      <w:pPr>
        <w:pStyle w:val="BodyText"/>
        <w:widowControl/>
      </w:pPr>
      <w:r>
        <w:t xml:space="preserve">Alternative MR estimators agreed in direction but differed in statistical significance (Table S1): weighted-median estimates were nominally significant in BBJ and UKB, weighted-mode estimates were not, and neither provided nominal support in FinnGen. These methods used the same limited instrument sets and therefore do not constitute independent replication. All 11</w:t>
      </w:r>
      <w:r>
        <w:t xml:space="preserve"> </w:t>
      </w:r>
      <w:r>
        <w:rPr>
          <w:iCs/>
          <w:i/>
        </w:rPr>
        <w:t xml:space="preserve">IGF1R</w:t>
      </w:r>
      <w:r>
        <w:t xml:space="preserve"> </w:t>
      </w:r>
      <w:r>
        <w:t xml:space="preserve">SNP-exclusion estimates retained the higher-odds direction, but the nominal associations were not robust to omission: in BBJ and UKB — the two outcomes that reached</w:t>
      </w:r>
      <w:r>
        <w:t xml:space="preserve"> </w:t>
      </w:r>
      <w:r>
        <w:rPr>
          <w:iCs/>
          <w:i/>
        </w:rPr>
        <w:t xml:space="preserve">P</w:t>
      </w:r>
      <w:r>
        <w:t xml:space="preserve"> </w:t>
      </w:r>
      <w:r>
        <w:t xml:space="preserve">&lt; 0.05 — two of the four omissions removed nominal significance in each. Omitting rs2654980 yielded OR 1.49 (95% CI 0.96–2.30;</w:t>
      </w:r>
      <w:r>
        <w:t xml:space="preserve"> </w:t>
      </w:r>
      <w:r>
        <w:rPr>
          <w:iCs/>
          <w:i/>
        </w:rPr>
        <w:t xml:space="preserve">P</w:t>
      </w:r>
      <w:r>
        <w:t xml:space="preserve"> </w:t>
      </w:r>
      <w:r>
        <w:t xml:space="preserve">= 0.0751) in BBJ and OR 1.16 (0.78–1.72;</w:t>
      </w:r>
      <w:r>
        <w:t xml:space="preserve"> </w:t>
      </w:r>
      <w:r>
        <w:rPr>
          <w:iCs/>
          <w:i/>
        </w:rPr>
        <w:t xml:space="preserve">P</w:t>
      </w:r>
      <w:r>
        <w:t xml:space="preserve"> </w:t>
      </w:r>
      <w:r>
        <w:t xml:space="preserve">= 0.468) in UKB (Figure S2; Supplementary Data 6). rs2654980 also ranked first conditional on the shared-variant model, but because the MR and colocalization analyses reuse the same underlying association data, this is not independent corroboration. Taken together, these results provide weaker genetic support for</w:t>
      </w:r>
      <w:r>
        <w:t xml:space="preserve"> </w:t>
      </w:r>
      <w:r>
        <w:rPr>
          <w:iCs/>
          <w:i/>
        </w:rPr>
        <w:t xml:space="preserve">IGF1R</w:t>
      </w:r>
      <w:r>
        <w:t xml:space="preserve"> </w:t>
      </w:r>
      <w:r>
        <w:t xml:space="preserve">than for</w:t>
      </w:r>
      <w:r>
        <w:t xml:space="preserve"> </w:t>
      </w:r>
      <w:r>
        <w:rPr>
          <w:iCs/>
          <w:i/>
        </w:rPr>
        <w:t xml:space="preserve">TSHR</w:t>
      </w:r>
      <w:r>
        <w:t xml:space="preserve"> </w:t>
      </w:r>
      <w:r>
        <w:t xml:space="preserve">in BBJ Graves disease and FinnGen Graves ophthalmopathy; they do not show that</w:t>
      </w:r>
      <w:r>
        <w:t xml:space="preserve"> </w:t>
      </w:r>
      <w:r>
        <w:rPr>
          <w:iCs/>
          <w:i/>
        </w:rPr>
        <w:t xml:space="preserve">IGF1R</w:t>
      </w:r>
      <w:r>
        <w:t xml:space="preserve"> </w:t>
      </w:r>
      <w:r>
        <w:t xml:space="preserve">has no inherited contribution.</w:t>
      </w:r>
    </w:p>
    <w:bookmarkEnd w:id="28"/>
    <w:bookmarkStart w:id="29"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Cs/>
          <w:i/>
        </w:rPr>
        <w:t xml:space="preserve">CTLA4</w:t>
      </w:r>
      <w:r>
        <w:t xml:space="preserve"> </w:t>
      </w:r>
      <w:r>
        <w:t xml:space="preserve">[25] was associated with lower odds of disease in BBJ (OR 0.18, 95% CI 0.11–0.27;</w:t>
      </w:r>
      <w:r>
        <w:t xml:space="preserve"> </w:t>
      </w:r>
      <w:r>
        <w:rPr>
          <w:iCs/>
          <w:i/>
        </w:rPr>
        <w:t xml:space="preserve">P</w:t>
      </w:r>
      <w:r>
        <w:t xml:space="preserve"> </w:t>
      </w:r>
      <w:r>
        <w:t xml:space="preserve">= 5.45×10⁻¹⁵), UKB (OR 0.21, 95% CI 0.08–0.57;</w:t>
      </w:r>
      <w:r>
        <w:t xml:space="preserve"> </w:t>
      </w:r>
      <w:r>
        <w:rPr>
          <w:iCs/>
          <w:i/>
        </w:rPr>
        <w:t xml:space="preserve">P</w:t>
      </w:r>
      <w:r>
        <w:t xml:space="preserve"> </w:t>
      </w:r>
      <w:r>
        <w:t xml:space="preserve">= 0.0022) and FinnGen (OR 0.17, 95% CI 0.04–0.68;</w:t>
      </w:r>
      <w:r>
        <w:t xml:space="preserve"> </w:t>
      </w:r>
      <w:r>
        <w:rPr>
          <w:iCs/>
          <w:i/>
        </w:rPr>
        <w:t xml:space="preserve">P</w:t>
      </w:r>
      <w:r>
        <w:t xml:space="preserve"> </w:t>
      </w:r>
      <w:r>
        <w:t xml:space="preserve">= 0.0118). Shared-variant support was strong in UKB and FinnGen (0.953 and 0.978), but not BBJ (0.201), where the posterior favoured distinct variants (PP.H3 = 0.799; Figure 2). In the two European outcomes, the MR association was largely supported by rs13030124: omitting it left imprecise estimates based on rs148849825 alone (UKB OR 1.02, 95% CI 0.37–2.82; FinnGen OR 1.72, 0.16–18.90). This agreed with the observed heterogeneity and limits interpretation of the two-SNP IVW estimates (Table S1; Figure S2). The screen therefore recovered a known autoimmune association — in BBJ on a single instrument — while</w:t>
      </w:r>
      <w:r>
        <w:t xml:space="preserve"> </w:t>
      </w:r>
      <w:r>
        <w:rPr>
          <w:iCs/>
          <w:i/>
        </w:rPr>
        <w:t xml:space="preserve">CTLA4</w:t>
      </w:r>
      <w:r>
        <w:t xml:space="preserve"> </w:t>
      </w:r>
      <w:r>
        <w:t xml:space="preserve">itself failed the combined BBJ-plus-FinnGen colocalization criterion.</w:t>
      </w:r>
    </w:p>
    <w:p>
      <w:pPr>
        <w:pStyle w:val="BodyText"/>
        <w:widowControl/>
      </w:pPr>
      <w:r>
        <w:t xml:space="preserve">None of the six additional candidates met the shared-variant criterion in both BBJ and FinnGen.</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had strong support in BBJ only (0.994 and 0.989); the corresponding FinnGen probabilities were 0.017 and 0.020 (Figure 3A).</w:t>
      </w:r>
      <w:r>
        <w:t xml:space="preserve"> </w:t>
      </w:r>
      <w:r>
        <w:rPr>
          <w:iCs/>
          <w:i/>
        </w:rPr>
        <w:t xml:space="preserve">TNFSF14</w:t>
      </w:r>
      <w:r>
        <w:t xml:space="preserve"> </w:t>
      </w:r>
      <w:r>
        <w:t xml:space="preserve">nevertheless retained a direction-consistent UKB MR association (</w:t>
      </w:r>
      <w:r>
        <w:rPr>
          <w:iCs/>
          <w:i/>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(Supplementary Methods). Their BBJ shared-variant probabilities were below 0.80, and none gained strong support in UKB or FinnGen.</w:t>
      </w:r>
      <w:r>
        <w:t xml:space="preserve"> </w:t>
      </w:r>
      <w:r>
        <w:rPr>
          <w:iCs/>
          <w:i/>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29"/>
    <w:bookmarkStart w:id="30"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Cs/>
          <w:i/>
        </w:rPr>
        <w:t xml:space="preserve">IGF1R</w:t>
      </w:r>
      <w:r>
        <w:t xml:space="preserve"> </w:t>
      </w:r>
      <w:r>
        <w:t xml:space="preserve">remained nominally associated in BBJ and UKB (</w:t>
      </w:r>
      <w:r>
        <w:rPr>
          <w:iCs/>
          <w:i/>
        </w:rPr>
        <w:t xml:space="preserve">P</w:t>
      </w:r>
      <w:r>
        <w:t xml:space="preserve"> </w:t>
      </w:r>
      <w:r>
        <w:t xml:space="preserve">= 0.022 and 0.016) and non-significant in FinnGen (</w:t>
      </w:r>
      <w:r>
        <w:rPr>
          <w:iCs/>
          <w:i/>
        </w:rPr>
        <w:t xml:space="preserve">P</w:t>
      </w:r>
      <w:r>
        <w:t xml:space="preserve"> </w:t>
      </w:r>
      <w:r>
        <w:t xml:space="preserve">= 0.177; Table S2). Frequency substitution moved none of the 81 colocalization comparisons (nine genes × three outcomes × three priors) across the 0.80 threshold, so every classification was unchanged; the largest absolute change in shared-variant probability was 0.002142. The prior assumption was a different matter: under the most conservative prior,</w:t>
      </w:r>
      <w:r>
        <w:t xml:space="preserve"> </w:t>
      </w:r>
      <w:r>
        <w:rPr>
          <w:iCs/>
          <w:i/>
        </w:rPr>
        <w:t xml:space="preserve">TSHR</w:t>
      </w:r>
      <w:r>
        <w:t xml:space="preserve"> </w:t>
      </w:r>
      <w:r>
        <w:t xml:space="preserve">support in BBJ fell from 0.951 to 0.661, below the 0.80 threshold, while FinnGen remained above it at 0.875 (Figure 3B; Supplementary Data 3). Stability to the frequency substitution therefore does not imply stability to the prior.</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S3). Gene-specific detection benchmarks are provided in Supplementary Methods. They describe the precision of MR association detection, not the probability of passing the complete colocalization filter, and cannot distinguish an absent effect from limited power; the ORs, 95% CIs and</w:t>
      </w:r>
      <w:r>
        <w:t xml:space="preserve"> </w:t>
      </w:r>
      <w:r>
        <w:rPr>
          <w:iCs/>
          <w:i/>
        </w:rPr>
        <w:t xml:space="preserve">P</w:t>
      </w:r>
      <w:r>
        <w:t xml:space="preserve"> </w:t>
      </w:r>
      <w:r>
        <w:t xml:space="preserve">values in Table 2 should guide interpretation of the observed associations. Failure to identify an additional candidate therefore does not exclude moderate or other undetected genetic effects.</w:t>
      </w:r>
    </w:p>
    <w:bookmarkEnd w:id="30"/>
    <w:bookmarkEnd w:id="31"/>
    <w:bookmarkStart w:id="34"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Cs/>
          <w:i/>
        </w:rPr>
        <w:t xml:space="preserve">TSHR</w:t>
      </w:r>
      <w:r>
        <w:t xml:space="preserve"> </w:t>
      </w:r>
      <w:r>
        <w:t xml:space="preserve">expression to GD than linking</w:t>
      </w:r>
      <w:r>
        <w:t xml:space="preserve"> </w:t>
      </w:r>
      <w:r>
        <w:rPr>
          <w:iCs/>
          <w:i/>
        </w:rPr>
        <w:t xml:space="preserve">IGF1R</w:t>
      </w:r>
      <w:r>
        <w:t xml:space="preserve"> </w:t>
      </w:r>
      <w:r>
        <w:t xml:space="preserve">expression to the same outcomes. The</w:t>
      </w:r>
      <w:r>
        <w:t xml:space="preserve"> </w:t>
      </w:r>
      <w:r>
        <w:rPr>
          <w:iCs/>
          <w:i/>
        </w:rPr>
        <w:t xml:space="preserve">TSHR</w:t>
      </w:r>
      <w:r>
        <w:t xml:space="preserve"> </w:t>
      </w:r>
      <w:r>
        <w:t xml:space="preserve">association ran in the protective direction — higher genetically proxied expression corresponded to lower odds of disease — consistently across all three datasets, with shared expression–disease signals in BBJ GD and FinnGen Graves ophthalmopathy under the primary prior; in UKB neither gene reached the shared-variant threshold. Because the FinnGen outcome compares Graves ophthalmopathy cases with population controls, that recovery shows the signal extends to a TED-enriched population but does not isolate susceptibility to eye disease among people who already have GD.</w:t>
      </w:r>
      <w:r>
        <w:t xml:space="preserve"> </w:t>
      </w:r>
      <w:r>
        <w:rPr>
          <w:iCs/>
          <w:i/>
        </w:rPr>
        <w:t xml:space="preserve">IGF1R</w:t>
      </w:r>
      <w:r>
        <w:t xml:space="preserve"> </w:t>
      </w:r>
      <w:r>
        <w:t xml:space="preserve">showed nominal associations in BBJ and UKB, but its shared-variant evidence was unresolved in every outcome. No additional candidate passed the combined BBJ and FinnGen criterion. The comparison is therefore informative about the pattern and strength of genetic evidence, rather than a ranking of expected drug efficacy.</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Two observations bear on how that gap might arise: the two receptors are physically scaffolded in experimental systems [5], and expression regulation is tissue-dependent [29]. A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Cs/>
          <w:i/>
        </w:rPr>
        <w:t xml:space="preserve">TSHR</w:t>
      </w:r>
      <w:r>
        <w:t xml:space="preserve"> </w:t>
      </w:r>
      <w:r>
        <w:t xml:space="preserve">estimate is compatible with a central-tolerance hypothesis. Human thymic studies associated the GD-protective rs179247 allele with greater intrathymic</w:t>
      </w:r>
      <w:r>
        <w:t xml:space="preserve"> </w:t>
      </w:r>
      <w:r>
        <w:rPr>
          <w:iCs/>
          <w:i/>
        </w:rPr>
        <w:t xml:space="preserve">TSHR</w:t>
      </w:r>
      <w:r>
        <w:t xml:space="preserve"> </w:t>
      </w:r>
      <w:r>
        <w:t xml:space="preserve">transcription, a pattern that could improve immune recognition of TSHR as self [30, 31]. We calculated strong LD between our instrument rs179252 and rs179247 in European and East Asian reference samples (r² = 0.957 and 0.992, respectively; Supplementary Methods), which connects the instrument to a biologically relevant region: if the relevant allele increases thymic antigen expression, the protective association would be biologically coherent. That tissue-specific step remains untested here, since neither LD nor a blood eQTL demonstrates the same regulatory direction in thymus. At rs179252 itself the disease odds ratios were approximately 0.80, 0.77 and 0.78 across BBJ, UKB and FinnGen. The much larger MR estimates follow from the scale rather than from a larger effect: the variant shifts reconstructed expression by only about 0.11 SD, and dividing the per-allele effect by that shift expresses it per standard deviation (Table 2). Genetic target evidence [32] therefore requires tissue and exposure interpretation before translation into an intervention.</w:t>
      </w:r>
    </w:p>
    <w:p>
      <w:pPr>
        <w:pStyle w:val="BodyText"/>
        <w:widowControl/>
      </w:pPr>
      <w:r>
        <w:t xml:space="preserve">The UKB</w:t>
      </w:r>
      <w:r>
        <w:t xml:space="preserve"> </w:t>
      </w:r>
      <w:r>
        <w:rPr>
          <w:iCs/>
          <w:i/>
        </w:rPr>
        <w:t xml:space="preserve">TSHR</w:t>
      </w:r>
      <w:r>
        <w:t xml:space="preserve"> </w:t>
      </w:r>
      <w:r>
        <w:t xml:space="preserve">and BBJ</w:t>
      </w:r>
      <w:r>
        <w:t xml:space="preserve"> </w:t>
      </w:r>
      <w:r>
        <w:rPr>
          <w:iCs/>
          <w:i/>
        </w:rPr>
        <w:t xml:space="preserve">CTLA4</w:t>
      </w:r>
      <w:r>
        <w:t xml:space="preserve"> </w:t>
      </w:r>
      <w:r>
        <w:t xml:space="preserve">discordances illustrate the limits of the colocalization model as fitted. Their H3-dominant posteriors favour distinct variants under the single-causal-variant assumption;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Multi-signal colocalization was not performed, so the regional architecture remains unresolved.</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Cs/>
          <w:i/>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SNP-exclusion analyses further showed that nominal</w:t>
      </w:r>
      <w:r>
        <w:t xml:space="preserve"> </w:t>
      </w:r>
      <w:r>
        <w:rPr>
          <w:iCs/>
          <w:i/>
        </w:rPr>
        <w:t xml:space="preserve">IGF1R</w:t>
      </w:r>
      <w:r>
        <w:t xml:space="preserve"> </w:t>
      </w:r>
      <w:r>
        <w:t xml:space="preserve">significance was sensitive to instrument omission and that European</w:t>
      </w:r>
      <w:r>
        <w:t xml:space="preserve"> </w:t>
      </w:r>
      <w:r>
        <w:rPr>
          <w:iCs/>
          <w:i/>
        </w:rPr>
        <w:t xml:space="preserve">CTLA4</w:t>
      </w:r>
      <w:r>
        <w:t xml:space="preserve"> </w:t>
      </w:r>
      <w:r>
        <w:t xml:space="preserve">support was concentrated in one SNP. These post hoc checks refine interpretation of the same data; changes in significance reflect both effect estimates and precision and do not establish bias in a particular SNP. Prior sensitivity answers a separate question:</w:t>
      </w:r>
      <w:r>
        <w:t xml:space="preserve"> </w:t>
      </w:r>
      <w:r>
        <w:rPr>
          <w:iCs/>
          <w:i/>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Detection is subject to the same distinction: the benchmarks quantify the design’s precision, so the absence of further qualifying candidates cannot separate no effect from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Agreement between two outcomes that both use population controls would not by itself resolve this, because each compares affected people with the general population rather than with GD patients who do not develop eye disease, and because a Graves ophthalmopathy case is by definition also a GD case. Larger molecular datasets from relevant cell types could test whether the blood-derived signals transfer to thymus or orbital tissue. The present orbital observations — four TED samples and one control — remain descriptive and cannot establish that transfer or distinguish causes from consequences of established disease.</w:t>
      </w:r>
    </w:p>
    <w:bookmarkStart w:id="32"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Cs/>
          <w:i/>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Cs/>
          <w:i/>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Cs/>
          <w:i/>
        </w:rPr>
        <w:t xml:space="preserve">TSHR</w:t>
      </w:r>
      <w:r>
        <w:t xml:space="preserve"> </w:t>
      </w:r>
      <w:r>
        <w:t xml:space="preserve">in BBJ. Multi-variant colocalization, genetic directionality, formal colocalization power and the probability of passing the combined filter were not evaluated. Without such a model, the UKB</w:t>
      </w:r>
      <w:r>
        <w:t xml:space="preserve"> </w:t>
      </w:r>
      <w:r>
        <w:rPr>
          <w:iCs/>
          <w:i/>
        </w:rPr>
        <w:t xml:space="preserve">TSHR</w:t>
      </w:r>
      <w:r>
        <w:t xml:space="preserve"> </w:t>
      </w:r>
      <w:r>
        <w:t xml:space="preserve">and BBJ</w:t>
      </w:r>
      <w:r>
        <w:t xml:space="preserve"> </w:t>
      </w:r>
      <w:r>
        <w:rPr>
          <w:iCs/>
          <w:i/>
        </w:rPr>
        <w:t xml:space="preserve">CTLA4</w:t>
      </w:r>
      <w:r>
        <w:t xml:space="preserve"> </w:t>
      </w:r>
      <w:r>
        <w:t xml:space="preserve">discordances in particular remain unresolved. Together with the screen’s limited MR detection range, these constraints leave smaller or otherwise undetected genetic effects unresolved.</w:t>
      </w:r>
    </w:p>
    <w:bookmarkEnd w:id="32"/>
    <w:bookmarkStart w:id="33" w:name="conclusions"/>
    <w:p>
      <w:pPr>
        <w:pStyle w:val="Heading3"/>
        <w:widowControl/>
      </w:pPr>
      <w:r>
        <w:t xml:space="preserve">Conclusions</w:t>
      </w:r>
    </w:p>
    <w:p>
      <w:pPr>
        <w:pStyle w:val="FirstParagraph"/>
        <w:widowControl/>
      </w:pPr>
      <w:r>
        <w:t xml:space="preserve">Within these limits,</w:t>
      </w:r>
      <w:r>
        <w:t xml:space="preserve"> </w:t>
      </w:r>
      <w:r>
        <w:rPr>
          <w:iCs/>
          <w:i/>
        </w:rPr>
        <w:t xml:space="preserve">TSHR</w:t>
      </w:r>
      <w:r>
        <w:t xml:space="preserve"> </w:t>
      </w:r>
      <w:r>
        <w:t xml:space="preserve">showed stronger expression–disease evidence than</w:t>
      </w:r>
      <w:r>
        <w:t xml:space="preserve"> </w:t>
      </w:r>
      <w:r>
        <w:rPr>
          <w:iCs/>
          <w:i/>
        </w:rPr>
        <w:t xml:space="preserve">IGF1R</w:t>
      </w:r>
      <w:r>
        <w:t xml:space="preserve"> </w:t>
      </w:r>
      <w:r>
        <w:t xml:space="preserve">in BBJ Graves disease and FinnGen Graves ophthalmopathy. The findings distinguish genetic susceptibility evidence from evidence of therapeutic efficacy, while preserving the uncertainty around</w:t>
      </w:r>
      <w:r>
        <w:t xml:space="preserve"> </w:t>
      </w:r>
      <w:r>
        <w:rPr>
          <w:iCs/>
          <w:i/>
        </w:rPr>
        <w:t xml:space="preserve">IGF1R</w:t>
      </w:r>
      <w:r>
        <w:t xml:space="preserve"> </w:t>
      </w:r>
      <w:r>
        <w:t xml:space="preserve">and the prior dependence of the BBJ</w:t>
      </w:r>
      <w:r>
        <w:t xml:space="preserve"> </w:t>
      </w:r>
      <w:r>
        <w:rPr>
          <w:iCs/>
          <w:i/>
        </w:rPr>
        <w:t xml:space="preserve">TSHR</w:t>
      </w:r>
      <w:r>
        <w:t xml:space="preserve"> </w:t>
      </w:r>
      <w:r>
        <w:t xml:space="preserve">result. They support further investigation in relevant tissues and a direct comparison of GD patients with and without TED; they do not establish treatment direction or expected clinical benefit.</w:t>
      </w:r>
    </w:p>
    <w:bookmarkEnd w:id="33"/>
    <w:bookmarkEnd w:id="34"/>
    <w:bookmarkStart w:id="35" w:name="declarations"/>
    <w:p>
      <w:pPr>
        <w:pStyle w:val="Heading2"/>
        <w:widowControl/>
      </w:pPr>
      <w:r>
        <w:t xml:space="preserve">Declarations</w:t>
      </w:r>
    </w:p>
    <w:p>
      <w:pPr>
        <w:pStyle w:val="FirstParagraph"/>
        <w:widowControl/>
      </w:pPr>
      <w:r>
        <w:rPr>
          <w:bCs/>
          <w:b/>
        </w:rPr>
        <w:t xml:space="preserve">Funding.</w:t>
      </w:r>
      <w:r>
        <w:t xml:space="preserve"> </w:t>
      </w:r>
      <w:r>
        <w:t xml:space="preserve">This research received no specific grant from any funding agency in the public, commercial, or not-for-profit sectors.</w:t>
      </w:r>
    </w:p>
    <w:p>
      <w:pPr>
        <w:pStyle w:val="BodyText"/>
        <w:widowControl/>
      </w:pPr>
      <w:r>
        <w:rPr>
          <w:bCs/>
          <w:b/>
        </w:rPr>
        <w:t xml:space="preserve">Conflict of interest.</w:t>
      </w:r>
      <w:r>
        <w:t xml:space="preserve"> </w:t>
      </w:r>
      <w:r>
        <w:t xml:space="preserve">The authors declare that they have no conflict of interest.</w:t>
      </w:r>
    </w:p>
    <w:p>
      <w:pPr>
        <w:pStyle w:val="BodyText"/>
        <w:widowControl/>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Cs/>
          <w:b/>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Cs/>
          <w:b/>
        </w:rPr>
        <w:t xml:space="preserve">Data availability.</w:t>
      </w:r>
      <w:r>
        <w:t xml:space="preserve"> </w:t>
      </w:r>
      <w:r>
        <w:t xml:space="preserve">Instruments, primary MR and colocalization results, and sensitivity results are supplied as Supplementary Data 1–6. Analysis code is available from the corresponding author on reasonable request. 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5"/>
    <w:bookmarkStart w:id="36"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36"/>
    <w:bookmarkStart w:id="37" w:name="figure-legends"/>
    <w:p>
      <w:pPr>
        <w:pStyle w:val="Heading2"/>
        <w:pageBreakBefore/>
        <w:widowControl/>
      </w:pPr>
      <w:r>
        <w:t xml:space="preserve">Figure Legends</w:t>
      </w:r>
    </w:p>
    <w:p>
      <w:pPr>
        <w:pStyle w:val="FirstParagraph"/>
        <w:widowControl/>
      </w:pPr>
      <w:r>
        <w:rPr>
          <w:bCs/>
          <w:b/>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Cs/>
          <w:i/>
        </w:rPr>
        <w:t xml:space="preserve">P</w:t>
      </w:r>
      <w:r>
        <w:t xml:space="preserve"> </w:t>
      </w:r>
      <w:r>
        <w:t xml:space="preserve">&lt; 0.05/2,544; all 2,234 estimable genes are plotted and all 13 discovery genes are labelled.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Cs/>
          <w:b/>
        </w:rPr>
        <w:t xml:space="preserve">Figure 2. Association estimates and regional genetic evidence for the three selected genes.</w:t>
      </w:r>
      <w:r>
        <w:t xml:space="preserve"> </w:t>
      </w:r>
      <w:r>
        <w:t xml:space="preserve">(A) Primary ORs and 95% CIs, with corresponding two-sided</w:t>
      </w:r>
      <w:r>
        <w:t xml:space="preserve"> </w:t>
      </w:r>
      <w:r>
        <w:rPr>
          <w:iCs/>
          <w:i/>
        </w:rPr>
        <w:t xml:space="preserve">P</w:t>
      </w:r>
      <w:r>
        <w:t xml:space="preserve"> </w:t>
      </w:r>
      <w:r>
        <w:t xml:space="preserve">values. Bold</w:t>
      </w:r>
      <w:r>
        <w:t xml:space="preserve"> </w:t>
      </w:r>
      <w:r>
        <w:rPr>
          <w:iCs/>
          <w:i/>
        </w:rPr>
        <w:t xml:space="preserve">P</w:t>
      </w:r>
      <w:r>
        <w:t xml:space="preserve"> </w:t>
      </w:r>
      <w:r>
        <w:t xml:space="preserve">values and asterisks (*) indicate nominal</w:t>
      </w:r>
      <w:r>
        <w:t xml:space="preserve"> </w:t>
      </w:r>
      <w:r>
        <w:rPr>
          <w:iCs/>
          <w:i/>
        </w:rPr>
        <w:t xml:space="preserve">P</w:t>
      </w:r>
      <w:r>
        <w:t xml:space="preserve"> </w:t>
      </w:r>
      <w:r>
        <w:t xml:space="preserve">&lt; 0.05; daggers (†) additionally mark BBJ discovery significance at</w:t>
      </w:r>
      <w:r>
        <w:t xml:space="preserve"> </w:t>
      </w:r>
      <w:r>
        <w:rPr>
          <w:iCs/>
          <w:i/>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Cs/>
          <w:i/>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Cs/>
          <w:b/>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Cs/>
          <w:i/>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S2–S3 report the separate cohort-frequency sensitivity. Full H0–H4 probabilities and all 81 gene–outcome–prior settings are in Supplementary Data 3.</w:t>
      </w:r>
    </w:p>
    <w:bookmarkEnd w:id="37"/>
    <w:bookmarkStart w:id="38" w:name="tables"/>
    <w:p>
      <w:pPr>
        <w:sectPr>
          <w:footerReference w:type="default" r:id="rId9"/>
          <w:footerReference w:type="first" r:id="rId10"/>
          <w:footerReference w:type="even" r:id="rId11"/>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Cs/>
          <w:b/>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Cs/>
          <w:i/>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Cs/>
          <w:i/>
          <w:sz w:val="20"/>
        </w:rPr>
        <w:t xml:space="preserve">P</w:t>
      </w:r>
      <w:r>
        <w:rPr>
          <w:sz w:val="20"/>
        </w:rPr>
        <w:t xml:space="preserve"> </w:t>
      </w:r>
      <w:r>
        <w:rPr>
          <w:sz w:val="20"/>
        </w:rPr>
        <w:t xml:space="preserve">&lt; 1.965×10⁻⁵, while</w:t>
      </w:r>
      <w:r>
        <w:rPr>
          <w:sz w:val="20"/>
        </w:rPr>
        <w:t xml:space="preserve"> </w:t>
      </w:r>
      <w:r>
        <w:rPr>
          <w:iCs/>
          <w:i/>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Cs/>
          <w:i/>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European</w:t>
      </w:r>
      <w:r>
        <w:rPr>
          <w:sz w:val="20"/>
        </w:rPr>
        <w:t xml:space="preserve"> </w:t>
      </w:r>
      <w:r>
        <w:rPr>
          <w:iCs/>
          <w:i/>
          <w:sz w:val="20"/>
        </w:rPr>
        <w:t xml:space="preserve">CTLA4</w:t>
      </w:r>
      <w:r>
        <w:rPr>
          <w:sz w:val="20"/>
        </w:rPr>
        <w:t xml:space="preserve"> </w:t>
      </w:r>
      <w:r>
        <w:rPr>
          <w:sz w:val="20"/>
        </w:rPr>
        <w:t xml:space="preserve">MR support was concentrated in rs13030124; the other instrument alone gave imprecise estimates spanning OR = 1 (Figure S2; Supplementary Data 6). Full probabilities are in Supplementary Data 3; sensitivity results are in Tables S1–S3 and Figure S2.</w:t>
      </w:r>
    </w:p>
    <w:p>
      <w:pPr>
        <w:pStyle w:val="BodyText"/>
        <w:keepNext/>
        <w:pageBreakBefore/>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38"/>
    <w:bookmarkEnd w:id="39"/>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2026-09-16T00:11:25Z</dcterms:created>
  <dcterms:modified xsi:type="dcterms:W3CDTF">2026-09-16T00:11:25Z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