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BodyText"/>
        <w:keepNext/>
        <w:pageBreakBefore w:val="0"/>
        <w:widowControl/>
        <w:spacing w:line="264" w:lineRule="auto" w:after="140"/>
      </w:pPr>
      <w:r>
        <w:rPr>
          <w:bCs/>
          <w:b/>
          <w:sz w:val="20"/>
        </w:rPr>
        <w:t xml:space="preserve">Table 2. Primary associations for the three selected genes</w:t>
      </w:r>
    </w:p>
    <w:tbl>
      <w:tblPr>
        <w:tblW w:type="dxa" w:w="9173"/>
        <w:jc w:val="center"/>
        <w:tblLayout w:type="fixed"/>
        <w:tblLook w:firstColumn="1" w:firstRow="1" w:lastColumn="0" w:lastRow="0" w:noHBand="0" w:noVBand="1" w:val="04A0"/>
      </w:tblPr>
      <w:tblGrid>
        <w:gridCol w:w="691"/>
        <w:gridCol w:w="1584"/>
        <w:gridCol w:w="1296"/>
        <w:gridCol w:w="1584"/>
        <w:gridCol w:w="1080"/>
        <w:gridCol w:w="1080"/>
        <w:gridCol w:w="965"/>
        <w:gridCol w:w="893"/>
      </w:tblGrid>
      <w:tr>
        <w:trPr>
          <w:cantSplit/>
          <w:tblHeader/>
        </w:trPr>
        <w:tc>
          <w:tcPr>
            <w:tcW w:type="dxa" w:w="691"/>
            <w:vAlign w:val="center"/>
            <w:tcMar>
              <w:top w:w="80" w:type="dxa"/>
              <w:bottom w:w="80" w:type="dxa"/>
              <w:left w:w="40" w:type="dxa"/>
              <w:right w:w="4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b/>
                <w:sz w:val="19"/>
              </w:rPr>
              <w:t xml:space="preserve">Gene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b/>
                <w:sz w:val="19"/>
              </w:rPr>
              <w:t xml:space="preserve">Outcome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Instruments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OR (95% CI)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iCs/>
                <w:rFonts w:ascii="Times New Roman" w:hAnsi="Times New Roman"/>
                <w:b/>
                <w:i/>
                <w:sz w:val="19"/>
              </w:rPr>
              <w:t xml:space="preserve">P</w:t>
            </w:r>
            <w:r>
              <w:rPr>
                <w:rFonts w:ascii="Times New Roman" w:hAnsi="Times New Roman"/>
                <w:b/>
                <w:sz w:val="19"/>
              </w:rPr>
              <w:t xml:space="preserve"> </w:t>
            </w:r>
            <w:r>
              <w:rPr>
                <w:rFonts w:ascii="Times New Roman" w:hAnsi="Times New Roman"/>
                <w:b/>
                <w:sz w:val="19"/>
              </w:rPr>
              <w:t xml:space="preserve">value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Expression only (PP.H2)</w:t>
            </w:r>
          </w:p>
        </w:tc>
        <w:tc>
          <w:tcPr>
            <w:tcW w:type="dxa" w:w="965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Distinct variants (PP.H3)</w:t>
            </w:r>
          </w:p>
        </w:tc>
        <w:tc>
          <w:tcPr>
            <w:tcW w:type="dxa" w:w="89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Shared variant (PP.H4)</w:t>
            </w:r>
          </w:p>
        </w:tc>
      </w:tr>
      <w:tr>
        <w:trPr>
          <w:cantSplit/>
        </w:trPr>
        <w:tc>
          <w:tcPr>
            <w:tcW w:type="dxa" w:w="691"/>
            <w:vAlign w:val="center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19"/>
              </w:rPr>
              <w:t xml:space="preserve">TSHR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BBJ Graves disease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1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0.12 (0.07–0.21)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1.09×10⁻¹⁴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&lt;0.001</w:t>
            </w:r>
          </w:p>
        </w:tc>
        <w:tc>
          <w:tcPr>
            <w:tcW w:type="dxa" w:w="965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0.049</w:t>
            </w:r>
          </w:p>
        </w:tc>
        <w:tc>
          <w:tcPr>
            <w:tcW w:type="dxa" w:w="89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0.951</w:t>
            </w:r>
          </w:p>
        </w:tc>
      </w:tr>
      <w:tr>
        <w:trPr>
          <w:cantSplit/>
        </w:trPr>
        <w:tc>
          <w:tcPr>
            <w:tcW w:type="dxa" w:w="691"/>
            <w:vAlign w:val="center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19"/>
              </w:rPr>
              <w:t xml:space="preserve">TSHR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UKB hyperthyroidism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1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0.09 (0.06–0.14)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8.77×10⁻²⁸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&lt;0.001</w:t>
            </w:r>
          </w:p>
        </w:tc>
        <w:tc>
          <w:tcPr>
            <w:tcW w:type="dxa" w:w="965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0.774</w:t>
            </w:r>
          </w:p>
        </w:tc>
        <w:tc>
          <w:tcPr>
            <w:tcW w:type="dxa" w:w="89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0.226</w:t>
            </w:r>
          </w:p>
        </w:tc>
      </w:tr>
      <w:tr>
        <w:trPr>
          <w:cantSplit/>
        </w:trPr>
        <w:tc>
          <w:tcPr>
            <w:tcW w:type="dxa" w:w="691"/>
            <w:vAlign w:val="center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19"/>
              </w:rPr>
              <w:t xml:space="preserve">TSHR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FinnGen Graves ophthalmopathy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1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0.10 (0.04–0.24)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2.82×10⁻⁷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&lt;0.001</w:t>
            </w:r>
          </w:p>
        </w:tc>
        <w:tc>
          <w:tcPr>
            <w:tcW w:type="dxa" w:w="965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0.014</w:t>
            </w:r>
          </w:p>
        </w:tc>
        <w:tc>
          <w:tcPr>
            <w:tcW w:type="dxa" w:w="89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0.986</w:t>
            </w:r>
          </w:p>
        </w:tc>
      </w:tr>
      <w:tr>
        <w:trPr>
          <w:cantSplit/>
        </w:trPr>
        <w:tc>
          <w:tcPr>
            <w:tcW w:type="dxa" w:w="691"/>
            <w:vAlign w:val="center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19"/>
              </w:rPr>
              <w:t xml:space="preserve">IGF1R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BBJ Graves disease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4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1.56 (1.07–2.28)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0.0212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0.690</w:t>
            </w:r>
          </w:p>
        </w:tc>
        <w:tc>
          <w:tcPr>
            <w:tcW w:type="dxa" w:w="965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0.236</w:t>
            </w:r>
          </w:p>
        </w:tc>
        <w:tc>
          <w:tcPr>
            <w:tcW w:type="dxa" w:w="89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0.073</w:t>
            </w:r>
          </w:p>
        </w:tc>
      </w:tr>
      <w:tr>
        <w:trPr>
          <w:cantSplit/>
        </w:trPr>
        <w:tc>
          <w:tcPr>
            <w:tcW w:type="dxa" w:w="691"/>
            <w:vAlign w:val="center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19"/>
              </w:rPr>
              <w:t xml:space="preserve">IGF1R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UKB hyperthyroidism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4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1.35 (1.07–1.70)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0.0117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0.400</w:t>
            </w:r>
          </w:p>
        </w:tc>
        <w:tc>
          <w:tcPr>
            <w:tcW w:type="dxa" w:w="965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0.196</w:t>
            </w:r>
          </w:p>
        </w:tc>
        <w:tc>
          <w:tcPr>
            <w:tcW w:type="dxa" w:w="89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0.404</w:t>
            </w:r>
          </w:p>
        </w:tc>
      </w:tr>
      <w:tr>
        <w:trPr>
          <w:cantSplit/>
        </w:trPr>
        <w:tc>
          <w:tcPr>
            <w:tcW w:type="dxa" w:w="691"/>
            <w:vAlign w:val="center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19"/>
              </w:rPr>
              <w:t xml:space="preserve">IGF1R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FinnGen Graves ophthalmopathy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3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1.41 (0.85–2.33)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 xml:space="preserve">0.182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0.623</w:t>
            </w:r>
          </w:p>
        </w:tc>
        <w:tc>
          <w:tcPr>
            <w:tcW w:type="dxa" w:w="965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0.346</w:t>
            </w:r>
          </w:p>
        </w:tc>
        <w:tc>
          <w:tcPr>
            <w:tcW w:type="dxa" w:w="89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0.032</w:t>
            </w:r>
          </w:p>
        </w:tc>
      </w:tr>
      <w:tr>
        <w:trPr>
          <w:cantSplit/>
        </w:trPr>
        <w:tc>
          <w:tcPr>
            <w:tcW w:type="dxa" w:w="691"/>
            <w:vAlign w:val="center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19"/>
              </w:rPr>
              <w:t xml:space="preserve">CTLA4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BBJ Graves disease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1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0.18 (0.11–0.27)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5.45×10⁻¹⁵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&lt;0.001</w:t>
            </w:r>
          </w:p>
        </w:tc>
        <w:tc>
          <w:tcPr>
            <w:tcW w:type="dxa" w:w="965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0.799</w:t>
            </w:r>
          </w:p>
        </w:tc>
        <w:tc>
          <w:tcPr>
            <w:tcW w:type="dxa" w:w="89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0.201</w:t>
            </w:r>
          </w:p>
        </w:tc>
      </w:tr>
      <w:tr>
        <w:trPr>
          <w:cantSplit/>
        </w:trPr>
        <w:tc>
          <w:tcPr>
            <w:tcW w:type="dxa" w:w="691"/>
            <w:vAlign w:val="center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19"/>
              </w:rPr>
              <w:t xml:space="preserve">CTLA4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UKB hyperthyroidism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2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0.21 (0.08–0.57)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0.0022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&lt;0.001</w:t>
            </w:r>
          </w:p>
        </w:tc>
        <w:tc>
          <w:tcPr>
            <w:tcW w:type="dxa" w:w="965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0.047</w:t>
            </w:r>
          </w:p>
        </w:tc>
        <w:tc>
          <w:tcPr>
            <w:tcW w:type="dxa" w:w="89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0.953</w:t>
            </w:r>
          </w:p>
        </w:tc>
      </w:tr>
      <w:tr>
        <w:trPr>
          <w:cantSplit/>
        </w:trPr>
        <w:tc>
          <w:tcPr>
            <w:tcW w:type="dxa" w:w="691"/>
            <w:vAlign w:val="center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19"/>
              </w:rPr>
              <w:t xml:space="preserve">CTLA4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FinnGen Graves ophthalmopathy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2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0.17 (0.04–0.68)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0.0118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&lt;0.001</w:t>
            </w:r>
          </w:p>
        </w:tc>
        <w:tc>
          <w:tcPr>
            <w:tcW w:type="dxa" w:w="965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0.022</w:t>
            </w:r>
          </w:p>
        </w:tc>
        <w:tc>
          <w:tcPr>
            <w:tcW w:type="dxa" w:w="89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0.978</w:t>
            </w:r>
          </w:p>
        </w:tc>
      </w:tr>
    </w:tbl>
    <w:p>
      <w:pPr>
        <w:pStyle w:val="BodyText"/>
        <w:pageBreakBefore w:val="0"/>
        <w:widowControl/>
        <w:spacing w:line="264" w:lineRule="auto" w:after="140"/>
      </w:pPr>
      <w:r>
        <w:rPr>
          <w:sz w:val="20"/>
        </w:rPr>
        <w:t xml:space="preserve">ORs are per approximately one SD higher reconstructed, genetically proxied blood expression. Wald ratio was used for one instrument and IVW for multiple instruments.</w:t>
      </w:r>
      <w:r>
        <w:rPr>
          <w:sz w:val="20"/>
        </w:rPr>
        <w:t xml:space="preserve"> </w:t>
      </w:r>
      <w:r>
        <w:rPr>
          <w:iCs/>
          <w:i/>
          <w:sz w:val="20"/>
        </w:rPr>
        <w:t xml:space="preserve">P</w:t>
      </w:r>
      <w:r>
        <w:rPr>
          <w:sz w:val="20"/>
        </w:rPr>
        <w:t xml:space="preserve"> </w:t>
      </w:r>
      <w:r>
        <w:rPr>
          <w:sz w:val="20"/>
        </w:rPr>
        <w:t xml:space="preserve">values are two-sided and shown to three significant digits; BBJ discovery significance requires</w:t>
      </w:r>
      <w:r>
        <w:rPr>
          <w:sz w:val="20"/>
        </w:rPr>
        <w:t xml:space="preserve"> </w:t>
      </w:r>
      <w:r>
        <w:rPr>
          <w:iCs/>
          <w:i/>
          <w:sz w:val="20"/>
        </w:rPr>
        <w:t xml:space="preserve">P</w:t>
      </w:r>
      <w:r>
        <w:rPr>
          <w:sz w:val="20"/>
        </w:rPr>
        <w:t xml:space="preserve"> </w:t>
      </w:r>
      <w:r>
        <w:rPr>
          <w:sz w:val="20"/>
        </w:rPr>
        <w:t xml:space="preserve">&lt; 1.965×10⁻⁵, while</w:t>
      </w:r>
      <w:r>
        <w:rPr>
          <w:sz w:val="20"/>
        </w:rPr>
        <w:t xml:space="preserve"> </w:t>
      </w:r>
      <w:r>
        <w:rPr>
          <w:iCs/>
          <w:i/>
          <w:sz w:val="20"/>
        </w:rPr>
        <w:t xml:space="preserve">P</w:t>
      </w:r>
      <w:r>
        <w:rPr>
          <w:sz w:val="20"/>
        </w:rPr>
        <w:t xml:space="preserve"> </w:t>
      </w:r>
      <w:r>
        <w:rPr>
          <w:sz w:val="20"/>
        </w:rPr>
        <w:t xml:space="preserve">&lt; 0.05 in other outcomes is nominal. H2, H3 and H4 denote expression only, distinct variants and a shared variant under the single-causal-variant model; these posterior probabilities are not</w:t>
      </w:r>
      <w:r>
        <w:rPr>
          <w:sz w:val="20"/>
        </w:rPr>
        <w:t xml:space="preserve"> </w:t>
      </w:r>
      <w:r>
        <w:rPr>
          <w:iCs/>
          <w:i/>
          <w:sz w:val="20"/>
        </w:rPr>
        <w:t xml:space="preserve">P</w:t>
      </w:r>
      <w:r>
        <w:rPr>
          <w:sz w:val="20"/>
        </w:rPr>
        <w:t xml:space="preserve"> </w:t>
      </w:r>
      <w:r>
        <w:rPr>
          <w:sz w:val="20"/>
        </w:rPr>
        <w:t xml:space="preserve">values. H0/H1 account for any remaining probability. H4 ≥ 0.80 denotes strong shared-variant support. H2 dominance does not prove absence of marginal disease association. For rs179252, the G-allele exposure coefficient was 0.10546; aligned disease log-ORs were −0.22103 (BBJ), −0.25691 (UKB, after scale conversion) and −0.24587 (FinnGen), corresponding to variant-level ORs of 0.802, 0.773 and 0.782. These variant effects and the scaled MR ORs answer different questions. European</w:t>
      </w:r>
      <w:r>
        <w:rPr>
          <w:sz w:val="20"/>
        </w:rPr>
        <w:t xml:space="preserve"> </w:t>
      </w:r>
      <w:r>
        <w:rPr>
          <w:iCs/>
          <w:i/>
          <w:sz w:val="20"/>
        </w:rPr>
        <w:t xml:space="preserve">CTLA4</w:t>
      </w:r>
      <w:r>
        <w:rPr>
          <w:sz w:val="20"/>
        </w:rPr>
        <w:t xml:space="preserve"> </w:t>
      </w:r>
      <w:r>
        <w:rPr>
          <w:sz w:val="20"/>
        </w:rPr>
        <w:t xml:space="preserve">MR support was concentrated in rs13030124; the other instrument alone gave imprecise estimates spanning OR = 1 (Figure S2; Supplementary Data 6). Full probabilities are in Supplementary Data 3; sensitivity results are in Tables S1–S3 and Figure S2.</w:t>
      </w:r>
    </w:p>
    <w:sectPr>
      <w:pgSz w:w="11909" w:h="16834"/>
      <w:pgMar w:left="1368" w:right="1368" w:top="1152" w:bottom="1152" w:header="432" w:footer="432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uppressLineNumbers/>
    </w:pPr>
    <w:r>
      <w:fldChar w:fldCharType="begin"/>
    </w:r>
    <w:r>
      <w:instrText> PAGE </w:instrText>
    </w:r>
    <w: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uppressLineNumbers/>
    </w:pPr>
    <w:r>
      <w:fldChar w:fldCharType="begin"/>
    </w:r>
    <w:r>
      <w:instrText> PAGE </w:instrText>
    </w:r>
    <w:r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uppressLineNumbers/>
    </w:pPr>
    <w:r>
      <w:fldChar w:fldCharType="begin"/>
    </w:r>
    <w:r>
      <w:instrText> PAGE </w:instrTex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480" w:lineRule="auto" w:after="0"/>
    </w:pPr>
    <w:rPr>
      <w:rFonts w:ascii="Times New Roman" w:hAnsi="Times New Roman"/>
      <w:sz w:val="24"/>
    </w:rPr>
  </w:style>
  <w:style w:styleId="BodyText" w:type="paragraph">
    <w:name w:val="Body Text"/>
    <w:basedOn w:val="Normal"/>
    <w:link w:val="BodyTextChar"/>
    <w:pPr>
      <w:spacing w:after="0" w:before="180" w:line="480" w:lineRule="auto"/>
    </w:pPr>
    <w:qFormat/>
    <w:rPr>
      <w:rFonts w:ascii="Times New Roman" w:hAnsi="Times New Roman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line="480" w:lineRule="auto" w:after="0"/>
    </w:pPr>
    <w:rPr>
      <w:rFonts w:ascii="Times New Roman" w:hAnsi="Times New Roman"/>
      <w:sz w:val="24"/>
    </w:rPr>
  </w:style>
  <w:style w:customStyle="1" w:styleId="Compact" w:type="paragraph">
    <w:name w:val="Compact"/>
    <w:basedOn w:val="BodyText"/>
    <w:qFormat/>
    <w:pPr>
      <w:spacing w:after="0" w:before="36" w:line="480" w:lineRule="auto"/>
    </w:pPr>
    <w:rPr>
      <w:rFonts w:ascii="Times New Roman" w:hAnsi="Times New Roman"/>
      <w:sz w:val="24"/>
    </w:rPr>
  </w:style>
  <w:style w:styleId="Title" w:type="paragraph">
    <w:name w:val="Title"/>
    <w:basedOn w:val="Normal"/>
    <w:next w:val="BodyText"/>
    <w:qFormat/>
    <w:pPr>
      <w:keepNext/>
      <w:keepLines/>
      <w:spacing w:after="120" w:before="240" w:line="276" w:lineRule="auto"/>
      <w:jc w:val="center"/>
    </w:pPr>
    <w:rPr>
      <w:rFonts w:asciiTheme="majorHAnsi" w:cstheme="majorBidi" w:eastAsiaTheme="majorEastAsia" w:hAnsiTheme="majorHAnsi" w:ascii="Times New Roman" w:hAnsi="Times New Roman"/>
      <w:b/>
      <w:bCs/>
      <w:color w:val="000000"/>
      <w:sz w:val="3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pPr>
      <w:spacing w:line="480" w:lineRule="auto" w:after="0"/>
    </w:pPr>
    <w:rPr>
      <w:rFonts w:ascii="Times New Roman" w:hAnsi="Times New Roman"/>
      <w:sz w:val="24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Table 2</dc:title>
  <dc:creator>Jungyul Park; Min-Seon Kim; Kyung-Hwa Shin; Suk-Woo Yang</dc:creator>
  <cp:keywords/>
  <dcterms:created xsi:type="dcterms:W3CDTF">2026-09-16T00:11:25Z</dcterms:created>
  <dcterms:modified xsi:type="dcterms:W3CDTF">2026-09-16T00:11:25Z</dcterms:modified>
  <dc:identifier>Table2</dc:identifier>
  <cp:lastModifiedBy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