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
          <w:bCs/>
        </w:rPr>
        <w:t xml:space="preserve">Running head:</w:t>
      </w:r>
      <w:r>
        <w:t xml:space="preserve"> </w:t>
      </w:r>
      <w:r>
        <w:t xml:space="preserve">TSHR and IGF1R genetics in Graves disease</w:t>
      </w:r>
    </w:p>
    <w:bookmarkStart w:id="28" w:name="X170644179862b888655a49e077d6639ab7a50ca"/>
    <w:p>
      <w:pPr>
        <w:pStyle w:val="Title"/>
        <w:widowControl/>
      </w:pPr>
      <w:r>
        <w:t xml:space="preserve">Genetic evidence for TSHR and IGF1R in Graves disease and thyroid eye disease</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
          <w:bCs/>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
          <w:bCs/>
        </w:rPr>
        <w:t xml:space="preserve">Co-corresponding author:</w:t>
      </w:r>
      <w:r>
        <w:t xml:space="preserve"> </w:t>
      </w:r>
      <w:r>
        <w:t xml:space="preserve">Kyung-Hwa Shin, MD, Department of Laboratory Medicine, Pusan National University Hospital, Busan, Republic of Korea.</w:t>
      </w:r>
    </w:p>
    <w:bookmarkStart w:id="9" w:name="abstract"/>
    <w:p>
      <w:pPr>
        <w:pStyle w:val="Heading2"/>
        <w:pageBreakBefore/>
        <w:widowControl/>
      </w:pPr>
      <w:r>
        <w:t xml:space="preserve">Abstract</w:t>
      </w:r>
    </w:p>
    <w:p>
      <w:pPr>
        <w:pStyle w:val="FirstParagraph"/>
        <w:widowControl/>
      </w:pPr>
      <w:r>
        <w:rPr>
          <w:b/>
          <w:bCs/>
        </w:rPr>
        <w:t xml:space="preserve">Objective:</w:t>
      </w:r>
      <w:r>
        <w:t xml:space="preserve"> </w:t>
      </w:r>
      <w:r>
        <w:t xml:space="preserve">To compare genetic evidence linking blood expression of</w:t>
      </w:r>
      <w:r>
        <w:t xml:space="preserve"> </w:t>
      </w:r>
      <w:r>
        <w:rPr>
          <w:i/>
          <w:iCs/>
        </w:rPr>
        <w:t xml:space="preserve">TSHR</w:t>
      </w:r>
      <w:r>
        <w:t xml:space="preserve"> </w:t>
      </w:r>
      <w:r>
        <w:t xml:space="preserve">and</w:t>
      </w:r>
      <w:r>
        <w:t xml:space="preserve"> </w:t>
      </w:r>
      <w:r>
        <w:rPr>
          <w:i/>
          <w:iCs/>
        </w:rPr>
        <w:t xml:space="preserve">IGF1R</w:t>
      </w:r>
      <w:r>
        <w:t xml:space="preserve"> </w:t>
      </w:r>
      <w:r>
        <w:t xml:space="preserve">to Graves disease (GD) and thyroid eye disease (TED).</w:t>
      </w:r>
      <w:r>
        <w:t xml:space="preserve"> </w:t>
      </w:r>
      <w:r>
        <w:rPr>
          <w:b/>
          <w:bCs/>
        </w:rPr>
        <w:t xml:space="preserve">Methods:</w:t>
      </w:r>
      <w:r>
        <w:t xml:space="preserve"> </w:t>
      </w:r>
      <w:r>
        <w:t xml:space="preserve">We used genetic variants associated with blood gene expression to study 2,544 druggable genes by Mendelian randomization. Biobank Japan (BBJ) GD was the discovery outcome; UK Biobank (UKB) hyperthyroidism and FinnGen Graves ophthalmopathy provided additional comparisons. We reported odds ratios (ORs), 95% confidence intervals (CIs) and</w:t>
      </w:r>
      <w:r>
        <w:t xml:space="preserve"> </w:t>
      </w:r>
      <w:r>
        <w:rPr>
          <w:i/>
          <w:iCs/>
        </w:rPr>
        <w:t xml:space="preserve">P</w:t>
      </w:r>
      <w:r>
        <w:t xml:space="preserve"> </w:t>
      </w:r>
      <w:r>
        <w:t xml:space="preserve">values, and tested whether expression and disease associations shared a genetic variant.</w:t>
      </w:r>
      <w:r>
        <w:t xml:space="preserve"> </w:t>
      </w:r>
      <w:r>
        <w:rPr>
          <w:b/>
          <w:bCs/>
        </w:rPr>
        <w:t xml:space="preserve">Results:</w:t>
      </w:r>
      <w:r>
        <w:t xml:space="preserve"> </w:t>
      </w:r>
      <w:r>
        <w:t xml:space="preserve">Thirteen genes met the multiple-testing threshold. Higher genetically proxied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with the same direction in UKB and FinnGen. Shared-variant support was strong in BBJ and FinnGen, but not UKB; the BBJ result was sensitive to a more conservative prior.</w:t>
      </w:r>
      <w:r>
        <w:t xml:space="preserve"> </w:t>
      </w:r>
      <w:r>
        <w:rPr>
          <w:i/>
          <w:iCs/>
        </w:rPr>
        <w:t xml:space="preserve">IGF1R</w:t>
      </w:r>
      <w:r>
        <w:t xml:space="preserve"> </w:t>
      </w:r>
      <w:r>
        <w:t xml:space="preserve">associations were nominal in BBJ (OR 1.56, 95% CI 1.07–2.28;</w:t>
      </w:r>
      <w:r>
        <w:t xml:space="preserve"> </w:t>
      </w:r>
      <w:r>
        <w:rPr>
          <w:i/>
          <w:iCs/>
        </w:rPr>
        <w:t xml:space="preserve">P</w:t>
      </w:r>
      <w:r>
        <w:t xml:space="preserve"> </w:t>
      </w:r>
      <w:r>
        <w:t xml:space="preserve">= 0.0212) and UKB (</w:t>
      </w:r>
      <w:r>
        <w:rPr>
          <w:i/>
          <w:iCs/>
        </w:rPr>
        <w:t xml:space="preserve">P</w:t>
      </w:r>
      <w:r>
        <w:t xml:space="preserve"> </w:t>
      </w:r>
      <w:r>
        <w:t xml:space="preserve">= 0.0117), and inconclusive in FinnGen (</w:t>
      </w:r>
      <w:r>
        <w:rPr>
          <w:i/>
          <w:iCs/>
        </w:rPr>
        <w:t xml:space="preserve">P</w:t>
      </w:r>
      <w:r>
        <w:t xml:space="preserve"> </w:t>
      </w:r>
      <w:r>
        <w:t xml:space="preserve">= 0.182); shared-variant support remained below threshold. No additional candidate met the combined BBJ and FinnGen shared-variant criterion. Cohort-frequency sensitivity analyses preserved these findings.</w:t>
      </w:r>
      <w:r>
        <w:t xml:space="preserve"> </w:t>
      </w:r>
      <w:r>
        <w:rPr>
          <w:b/>
          <w:bCs/>
        </w:rPr>
        <w:t xml:space="preserve">Conclusions:</w:t>
      </w:r>
      <w:r>
        <w:t xml:space="preserve"> </w:t>
      </w:r>
      <w:r>
        <w:t xml:space="preserve">Genetic evidence was stronger for</w:t>
      </w:r>
      <w:r>
        <w:t xml:space="preserve"> </w:t>
      </w:r>
      <w:r>
        <w:rPr>
          <w:i/>
          <w:iCs/>
        </w:rPr>
        <w:t xml:space="preserve">TSHR</w:t>
      </w:r>
      <w:r>
        <w:t xml:space="preserve"> </w:t>
      </w:r>
      <w:r>
        <w:t xml:space="preserve">than</w:t>
      </w:r>
      <w:r>
        <w:t xml:space="preserve"> </w:t>
      </w:r>
      <w:r>
        <w:rPr>
          <w:i/>
          <w:iCs/>
        </w:rPr>
        <w:t xml:space="preserve">IGF1R</w:t>
      </w:r>
      <w:r>
        <w:t xml:space="preserve"> </w:t>
      </w:r>
      <w:r>
        <w:t xml:space="preserve">in this analysis. These results do not exclude an inherited</w:t>
      </w:r>
      <w:r>
        <w:t xml:space="preserve"> </w:t>
      </w:r>
      <w:r>
        <w:rPr>
          <w:i/>
          <w:iCs/>
        </w:rPr>
        <w:t xml:space="preserve">IGF1R</w:t>
      </w:r>
      <w:r>
        <w:t xml:space="preserve"> </w:t>
      </w:r>
      <w:r>
        <w:t xml:space="preserve">contribution or alter evidence supporting IGF-1R blockade. FinnGen comparisons with population controls cannot establish an effect specific to TED within GD.</w:t>
      </w:r>
    </w:p>
    <w:p>
      <w:pPr>
        <w:pStyle w:val="BodyText"/>
        <w:widowControl/>
      </w:pPr>
      <w:r>
        <w:rPr>
          <w:b/>
          <w:bCs/>
        </w:rPr>
        <w:t xml:space="preserve">Keywords:</w:t>
      </w:r>
      <w:r>
        <w:t xml:space="preserve"> </w:t>
      </w:r>
      <w:r>
        <w:t xml:space="preserve">Graves disease; Thyroid eye disease;</w:t>
      </w:r>
      <w:r>
        <w:t xml:space="preserve"> </w:t>
      </w:r>
      <w:r>
        <w:rPr>
          <w:i/>
          <w:iCs/>
        </w:rPr>
        <w:t xml:space="preserve">TSHR</w:t>
      </w:r>
      <w:r>
        <w:t xml:space="preserve">;</w:t>
      </w:r>
      <w:r>
        <w:t xml:space="preserve"> </w:t>
      </w:r>
      <w:r>
        <w:rPr>
          <w:i/>
          <w:iCs/>
        </w:rPr>
        <w:t xml:space="preserve">IGF1R</w:t>
      </w:r>
      <w:r>
        <w:t xml:space="preserve">; Mendelian randomization; Colocalization</w:t>
      </w:r>
    </w:p>
    <w:bookmarkEnd w:id="9"/>
    <w:bookmarkStart w:id="10"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
          <w:iCs/>
        </w:rPr>
        <w:t xml:space="preserve">IGF1R</w:t>
      </w:r>
      <w:r>
        <w:t xml:space="preserve"> </w:t>
      </w:r>
      <w:r>
        <w:t xml:space="preserve">expression contribute to disease susceptibility in the same way as variation at</w:t>
      </w:r>
      <w:r>
        <w:t xml:space="preserve"> </w:t>
      </w:r>
      <w:r>
        <w:rPr>
          <w:i/>
          <w:iCs/>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Here, the exposure was blood gene expression. We also used colocalization, an analysis that asks whether the expression and disease associations are consistent with the same underlying genetic variant [8]. This additional check matters because neighbouring variants can be inherited together: an expression–disease association may otherwise reflect two linked signals rather than a shared signal. Prior MR and multi-omics studies have investigated molecular contributors to GD [9, 10], but the comparison between</w:t>
      </w:r>
      <w:r>
        <w:t xml:space="preserve"> </w:t>
      </w:r>
      <w:r>
        <w:rPr>
          <w:i/>
          <w:iCs/>
        </w:rPr>
        <w:t xml:space="preserve">TSHR</w:t>
      </w:r>
      <w:r>
        <w:t xml:space="preserve"> </w:t>
      </w:r>
      <w:r>
        <w:t xml:space="preserve">and</w:t>
      </w:r>
      <w:r>
        <w:t xml:space="preserve"> </w:t>
      </w:r>
      <w:r>
        <w:rPr>
          <w:i/>
          <w:iCs/>
        </w:rPr>
        <w:t xml:space="preserve">IGF1R</w:t>
      </w:r>
      <w:r>
        <w:t xml:space="preserve"> </w:t>
      </w:r>
      <w:r>
        <w:t xml:space="preserve">remains clinically relevant.</w:t>
      </w:r>
    </w:p>
    <w:p>
      <w:pPr>
        <w:pStyle w:val="BodyText"/>
        <w:widowControl/>
      </w:pPr>
      <w:r>
        <w:t xml:space="preserve">We screened genes considered potentially druggable and compared</w:t>
      </w:r>
      <w:r>
        <w:t xml:space="preserve"> </w:t>
      </w:r>
      <w:r>
        <w:rPr>
          <w:i/>
          <w:iCs/>
        </w:rPr>
        <w:t xml:space="preserve">TSHR</w:t>
      </w:r>
      <w:r>
        <w:t xml:space="preserve">,</w:t>
      </w:r>
      <w:r>
        <w:t xml:space="preserve"> </w:t>
      </w:r>
      <w:r>
        <w:rPr>
          <w:i/>
          <w:iCs/>
        </w:rPr>
        <w:t xml:space="preserve">IGF1R</w:t>
      </w:r>
      <w:r>
        <w:t xml:space="preserve"> </w:t>
      </w:r>
      <w:r>
        <w:t xml:space="preserve">and the known autoimmune gene</w:t>
      </w:r>
      <w:r>
        <w:t xml:space="preserve"> </w:t>
      </w:r>
      <w:r>
        <w:rPr>
          <w:i/>
          <w:iCs/>
        </w:rPr>
        <w:t xml:space="preserve">CTLA4</w:t>
      </w:r>
      <w:r>
        <w:t xml:space="preserve">. Our primary question was whether genetically proxied expression was associated with GD and supported by a shared expression–disease variant. We then assessed broader hyperthyroidism and a Graves ophthalmopathy outcome. The study was designed to inform interpretation of genetic target evidence; it did not test a treatment or directly compare GD patients with and without TED.</w:t>
      </w:r>
    </w:p>
    <w:bookmarkEnd w:id="10"/>
    <w:bookmarkStart w:id="14" w:name="methods"/>
    <w:p>
      <w:pPr>
        <w:pStyle w:val="Heading2"/>
        <w:widowControl/>
      </w:pPr>
      <w:r>
        <w:t xml:space="preserve">Methods</w:t>
      </w:r>
    </w:p>
    <w:bookmarkStart w:id="11"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on biological and therapeutic grounds and evaluated them across all outcomes, regardless of discovery significance.</w:t>
      </w:r>
    </w:p>
    <w:bookmarkEnd w:id="11"/>
    <w:bookmarkStart w:id="12"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
          <w:iCs/>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
          <w:iCs/>
        </w:rPr>
        <w:t xml:space="preserve">P</w:t>
      </w:r>
      <w:r>
        <w:t xml:space="preserve"> </w:t>
      </w:r>
      <w:r>
        <w:t xml:space="preserve">values. ORs represent genetically proxied effects per approximately one standard deviation higher blood gene expression on the standardized scale assumed by the reconstruction. This scale assumes an expression variance of one; it does not standardize the genetic predictor itself. The estimates are not per drug dose and should not be interpreted as expected treatment effects. Discovery significance required</w:t>
      </w:r>
      <w:r>
        <w:t xml:space="preserve"> </w:t>
      </w:r>
      <w:r>
        <w:rPr>
          <w:i/>
          <w:iCs/>
        </w:rPr>
        <w:t xml:space="preserve">P</w:t>
      </w:r>
      <w:r>
        <w:t xml:space="preserve"> </w:t>
      </w:r>
      <w:r>
        <w:t xml:space="preserve">&lt; 1.965×10⁻⁵, correcting for 2,544 eligible genes. Associations at</w:t>
      </w:r>
      <w:r>
        <w:t xml:space="preserve"> </w:t>
      </w:r>
      <w:r>
        <w:rPr>
          <w:i/>
          <w:iCs/>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
          <w:iCs/>
        </w:rPr>
        <w:t xml:space="preserve">P</w:t>
      </w:r>
      <w:r>
        <w:t xml:space="preserve"> </w:t>
      </w:r>
      <w:r>
        <w:t xml:space="preserve">value nor colocalization proves these assumptions. Single-instrument results, including</w:t>
      </w:r>
      <w:r>
        <w:t xml:space="preserve"> </w:t>
      </w:r>
      <w:r>
        <w:rPr>
          <w:i/>
          <w:iCs/>
        </w:rPr>
        <w:t xml:space="preserve">TSHR</w:t>
      </w:r>
      <w:r>
        <w:t xml:space="preserve">, cannot undergo instrument-based tests of pleiotropy. We did not perform a formal genetic directionality test [23]. The reporting checklist records other analyses that were unavailable or not undertaken.</w:t>
      </w:r>
    </w:p>
    <w:bookmarkEnd w:id="12"/>
    <w:bookmarkStart w:id="13"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
          <w:iCs/>
        </w:rPr>
        <w:t xml:space="preserve">P</w:t>
      </w:r>
      <w:r>
        <w:t xml:space="preserve"> </w:t>
      </w:r>
      <w:r>
        <w:t xml:space="preserve">value. We report it alongside the MR results and tested more conservative assumptions (Table S2)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
          <w:iCs/>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colocalization and detectable effect sizes were compared with the primary analysis (Tables S3–S4).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
          <w:iCs/>
        </w:rPr>
        <w:t xml:space="preserve">P</w:t>
      </w:r>
      <w:r>
        <w:t xml:space="preserve"> </w:t>
      </w:r>
      <w:r>
        <w:t xml:space="preserve">values were calculated for this manuscript. Technical replicates were combined at the biological-sample level.</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1–4. No prospective study registration was available.</w:t>
      </w:r>
    </w:p>
    <w:bookmarkEnd w:id="13"/>
    <w:bookmarkEnd w:id="14"/>
    <w:bookmarkStart w:id="20" w:name="results"/>
    <w:p>
      <w:pPr>
        <w:pStyle w:val="Heading2"/>
        <w:widowControl/>
      </w:pPr>
      <w:r>
        <w:t xml:space="preserve">Results</w:t>
      </w:r>
    </w:p>
    <w:bookmarkStart w:id="15"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Thirteen genes met the BBJ multiple-testing threshold: seven were associated with lower odds and six with higher odds of disease (Table 3; Figure 1). The 310 genes without estimable BBJ results were not classified as negative findings. The genomic distribution shows both the MHC cluster and signals outside that region; each plotted point represents a gene-level MR result, not a single-SNP GWAS association. The discovery genes included</w:t>
      </w:r>
      <w:r>
        <w:t xml:space="preserve"> </w:t>
      </w:r>
      <w:r>
        <w:rPr>
          <w:i/>
          <w:iCs/>
        </w:rPr>
        <w:t xml:space="preserve">TSHR</w:t>
      </w:r>
      <w:r>
        <w:t xml:space="preserve">,</w:t>
      </w:r>
      <w:r>
        <w:t xml:space="preserve"> </w:t>
      </w:r>
      <w:r>
        <w:rPr>
          <w:i/>
          <w:iCs/>
        </w:rPr>
        <w:t xml:space="preserve">CTLA4</w:t>
      </w:r>
      <w:r>
        <w:t xml:space="preserve">, five genes in the major histocompatibility complex (MHC), and six additional candidates. The three biologically selected genes are compared in Table 2 and Figure 2, which aligns effect estimates with the corresponding shared-variant evidence.</w:t>
      </w:r>
    </w:p>
    <w:bookmarkEnd w:id="15"/>
    <w:bookmarkStart w:id="16" w:name="tshr"/>
    <w:p>
      <w:pPr>
        <w:pStyle w:val="Heading3"/>
        <w:widowControl/>
      </w:pPr>
      <w:r>
        <w:t xml:space="preserve">TSHR</w:t>
      </w:r>
    </w:p>
    <w:p>
      <w:pPr>
        <w:pStyle w:val="FirstParagraph"/>
        <w:widowControl/>
      </w:pPr>
      <w:r>
        <w:t xml:space="preserve">Higher genetically proxied blood</w:t>
      </w:r>
      <w:r>
        <w:t xml:space="preserve"> </w:t>
      </w:r>
      <w:r>
        <w:rPr>
          <w:i/>
          <w:iCs/>
        </w:rPr>
        <w:t xml:space="preserve">TSHR</w:t>
      </w:r>
      <w:r>
        <w:t xml:space="preserve"> </w:t>
      </w:r>
      <w:r>
        <w:t xml:space="preserve">expression was associated with lower odds of BBJ GD (OR 0.12, 95% CI 0.07–0.21;</w:t>
      </w:r>
      <w:r>
        <w:t xml:space="preserve"> </w:t>
      </w:r>
      <w:r>
        <w:rPr>
          <w:i/>
          <w:iCs/>
        </w:rPr>
        <w:t xml:space="preserve">P</w:t>
      </w:r>
      <w:r>
        <w:t xml:space="preserve"> </w:t>
      </w:r>
      <w:r>
        <w:t xml:space="preserve">= 1.09×10⁻¹⁴). Estimates had the same direction in UKB (OR 0.09, 95% CI 0.06–0.14;</w:t>
      </w:r>
      <w:r>
        <w:t xml:space="preserve"> </w:t>
      </w:r>
      <w:r>
        <w:rPr>
          <w:i/>
          <w:iCs/>
        </w:rPr>
        <w:t xml:space="preserve">P</w:t>
      </w:r>
      <w:r>
        <w:t xml:space="preserve"> </w:t>
      </w:r>
      <w:r>
        <w:t xml:space="preserve">= 8.77×10⁻²⁸) and FinnGen (OR 0.10, 95% CI 0.04–0.24;</w:t>
      </w:r>
      <w:r>
        <w:t xml:space="preserve"> </w:t>
      </w:r>
      <w:r>
        <w:rPr>
          <w:i/>
          <w:iCs/>
        </w:rPr>
        <w:t xml:space="preserve">P</w:t>
      </w:r>
      <w:r>
        <w:t xml:space="preserve"> </w:t>
      </w:r>
      <w:r>
        <w:t xml:space="preserve">= 2.82×10⁻⁷).</w:t>
      </w:r>
    </w:p>
    <w:p>
      <w:pPr>
        <w:pStyle w:val="BodyText"/>
        <w:widowControl/>
      </w:pPr>
      <w:r>
        <w:t xml:space="preserve">Expression and disease showed strong shared-variant support in BBJ and FinnGen, with probabilities of 0.951 and 0.986, respectively. The leading variant was rs179252 in both. UKB did not show the same support (0.226), despite a strong MR association. There the posterior favoured distinct causal variants (PP.H3 = 0.774), so the expression and disease signals were more consistent with two linked variants than with one shared variant. Thus, a highly significant MR result alone did not establish a shared genetic signal in every outcome. The contrast is visible in Figure 2: the MR estimates all favoured lower odds, whereas the UKB posterior favoured distinct expression and disease variants. This discordance was not resolved by substituting cohort allele frequencies.</w:t>
      </w:r>
    </w:p>
    <w:bookmarkEnd w:id="16"/>
    <w:bookmarkStart w:id="17" w:name="igf1r"/>
    <w:p>
      <w:pPr>
        <w:pStyle w:val="Heading3"/>
        <w:widowControl/>
      </w:pPr>
      <w:r>
        <w:t xml:space="preserve">IGF1R</w:t>
      </w:r>
    </w:p>
    <w:p>
      <w:pPr>
        <w:pStyle w:val="FirstParagraph"/>
        <w:widowControl/>
      </w:pPr>
      <w:r>
        <w:t xml:space="preserve">Higher genetically proxied</w:t>
      </w:r>
      <w:r>
        <w:t xml:space="preserve"> </w:t>
      </w:r>
      <w:r>
        <w:rPr>
          <w:i/>
          <w:iCs/>
        </w:rPr>
        <w:t xml:space="preserve">IGF1R</w:t>
      </w:r>
      <w:r>
        <w:t xml:space="preserve"> </w:t>
      </w:r>
      <w:r>
        <w:t xml:space="preserve">expression was associated with higher odds of BBJ GD (OR 1.56, 95% CI 1.07–2.28;</w:t>
      </w:r>
      <w:r>
        <w:t xml:space="preserve"> </w:t>
      </w:r>
      <w:r>
        <w:rPr>
          <w:i/>
          <w:iCs/>
        </w:rPr>
        <w:t xml:space="preserve">P</w:t>
      </w:r>
      <w:r>
        <w:t xml:space="preserve"> </w:t>
      </w:r>
      <w:r>
        <w:t xml:space="preserve">= 0.0212) and UKB hyperthyroidism (OR 1.35, 95% CI 1.07–1.70;</w:t>
      </w:r>
      <w:r>
        <w:t xml:space="preserve"> </w:t>
      </w:r>
      <w:r>
        <w:rPr>
          <w:i/>
          <w:iCs/>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
          <w:iCs/>
        </w:rPr>
        <w:t xml:space="preserve">P</w:t>
      </w:r>
      <w:r>
        <w:t xml:space="preserve"> </w:t>
      </w:r>
      <w:r>
        <w:t xml:space="preserve">= 0.182).</w:t>
      </w:r>
    </w:p>
    <w:p>
      <w:pPr>
        <w:pStyle w:val="BodyText"/>
        <w:widowControl/>
      </w:pPr>
      <w:r>
        <w:t xml:space="preserve">Shared-variant support was below 0.80 in all three outcomes (BBJ 0.073, UKB 0.404 and FinnGen 0.032).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Taken together, these results provide weaker genetic support for</w:t>
      </w:r>
      <w:r>
        <w:t xml:space="preserve"> </w:t>
      </w:r>
      <w:r>
        <w:rPr>
          <w:i/>
          <w:iCs/>
        </w:rPr>
        <w:t xml:space="preserve">IGF1R</w:t>
      </w:r>
      <w:r>
        <w:t xml:space="preserve"> </w:t>
      </w:r>
      <w:r>
        <w:t xml:space="preserve">than for</w:t>
      </w:r>
      <w:r>
        <w:t xml:space="preserve"> </w:t>
      </w:r>
      <w:r>
        <w:rPr>
          <w:i/>
          <w:iCs/>
        </w:rPr>
        <w:t xml:space="preserve">TSHR</w:t>
      </w:r>
      <w:r>
        <w:t xml:space="preserve"> </w:t>
      </w:r>
      <w:r>
        <w:t xml:space="preserve">in BBJ Graves disease and FinnGen Graves ophthalmopathy; they do not show that</w:t>
      </w:r>
      <w:r>
        <w:t xml:space="preserve"> </w:t>
      </w:r>
      <w:r>
        <w:rPr>
          <w:i/>
          <w:iCs/>
        </w:rPr>
        <w:t xml:space="preserve">IGF1R</w:t>
      </w:r>
      <w:r>
        <w:t xml:space="preserve"> </w:t>
      </w:r>
      <w:r>
        <w:t xml:space="preserve">has no inherited contribution.</w:t>
      </w:r>
    </w:p>
    <w:bookmarkEnd w:id="17"/>
    <w:bookmarkStart w:id="18"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
          <w:iCs/>
        </w:rPr>
        <w:t xml:space="preserve">CTLA4</w:t>
      </w:r>
      <w:r>
        <w:t xml:space="preserve"> </w:t>
      </w:r>
      <w:r>
        <w:t xml:space="preserve">[25] was associated with lower odds of disease in BBJ (OR 0.18, 95% CI 0.11–0.27;</w:t>
      </w:r>
      <w:r>
        <w:t xml:space="preserve"> </w:t>
      </w:r>
      <w:r>
        <w:rPr>
          <w:i/>
          <w:iCs/>
        </w:rPr>
        <w:t xml:space="preserve">P</w:t>
      </w:r>
      <w:r>
        <w:t xml:space="preserve"> </w:t>
      </w:r>
      <w:r>
        <w:t xml:space="preserve">= 5.45×10⁻¹⁵), UKB (OR 0.21, 95% CI 0.08–0.57;</w:t>
      </w:r>
      <w:r>
        <w:t xml:space="preserve"> </w:t>
      </w:r>
      <w:r>
        <w:rPr>
          <w:i/>
          <w:iCs/>
        </w:rPr>
        <w:t xml:space="preserve">P</w:t>
      </w:r>
      <w:r>
        <w:t xml:space="preserve"> </w:t>
      </w:r>
      <w:r>
        <w:t xml:space="preserve">= 0.0022) and FinnGen (OR 0.17, 95% CI 0.04–0.68;</w:t>
      </w:r>
      <w:r>
        <w:t xml:space="preserve"> </w:t>
      </w:r>
      <w:r>
        <w:rPr>
          <w:i/>
          <w:iCs/>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
          <w:iCs/>
        </w:rPr>
        <w:t xml:space="preserve">CTLA4</w:t>
      </w:r>
      <w:r>
        <w:t xml:space="preserve"> </w:t>
      </w:r>
      <w:r>
        <w:t xml:space="preserve">itself failed the combined BBJ-plus-FinnGen colocalization criterion.</w:t>
      </w:r>
    </w:p>
    <w:p>
      <w:pPr>
        <w:pStyle w:val="BodyText"/>
        <w:widowControl/>
      </w:pPr>
      <w:r>
        <w:t xml:space="preserve">None of the six additional candidates met the shared-variant criterion in both BBJ and FinnGen.</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support in BBJ only (0.994 and 0.989); the corresponding FinnGen probabilities were 0.017 and 0.020 (Figure 3A).</w:t>
      </w:r>
      <w:r>
        <w:t xml:space="preserve"> </w:t>
      </w:r>
      <w:r>
        <w:rPr>
          <w:i/>
          <w:iCs/>
        </w:rPr>
        <w:t xml:space="preserve">TNFSF14</w:t>
      </w:r>
      <w:r>
        <w:t xml:space="preserve"> </w:t>
      </w:r>
      <w:r>
        <w:t xml:space="preserve">nevertheless retained a direction-consistent UKB MR association (</w:t>
      </w:r>
      <w:r>
        <w:rPr>
          <w:i/>
          <w:iCs/>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
          <w:iCs/>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18"/>
    <w:bookmarkStart w:id="19"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
          <w:iCs/>
        </w:rPr>
        <w:t xml:space="preserve">IGF1R</w:t>
      </w:r>
      <w:r>
        <w:t xml:space="preserve"> </w:t>
      </w:r>
      <w:r>
        <w:t xml:space="preserve">remained nominally associated in BBJ and UKB (</w:t>
      </w:r>
      <w:r>
        <w:rPr>
          <w:i/>
          <w:iCs/>
        </w:rPr>
        <w:t xml:space="preserve">P</w:t>
      </w:r>
      <w:r>
        <w:t xml:space="preserve"> </w:t>
      </w:r>
      <w:r>
        <w:t xml:space="preserve">= 0.022 and 0.016) and non-significant in FinnGen (</w:t>
      </w:r>
      <w:r>
        <w:rPr>
          <w:i/>
          <w:iCs/>
        </w:rPr>
        <w:t xml:space="preserve">P</w:t>
      </w:r>
      <w:r>
        <w:t xml:space="preserve"> </w:t>
      </w:r>
      <w:r>
        <w:t xml:space="preserve">= 0.177; Table S3).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
          <w:iCs/>
        </w:rPr>
        <w:t xml:space="preserve">TSHR</w:t>
      </w:r>
      <w:r>
        <w:t xml:space="preserve"> </w:t>
      </w:r>
      <w:r>
        <w:t xml:space="preserve">support in BBJ fell from 0.951 to 0.661, while FinnGen remained above threshold (Figure 3B; Table S2). This distinguished stability to the frequency substitution from sensitivity to the assumed prior: the former preserved classifications, while the latter changed the interpretation of the BBJ</w:t>
      </w:r>
      <w:r>
        <w:t xml:space="preserve"> </w:t>
      </w:r>
      <w:r>
        <w:rPr>
          <w:i/>
          <w:iCs/>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S4). Gene-specific detection benchmarks are provided in Supplementary Methods. They describe precision and cannot distinguish an absent effect from limited power; the ORs, 95% CIs and</w:t>
      </w:r>
      <w:r>
        <w:t xml:space="preserve"> </w:t>
      </w:r>
      <w:r>
        <w:rPr>
          <w:i/>
          <w:iCs/>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19"/>
    <w:bookmarkEnd w:id="20"/>
    <w:bookmarkStart w:id="23"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
          <w:iCs/>
        </w:rPr>
        <w:t xml:space="preserve">TSHR</w:t>
      </w:r>
      <w:r>
        <w:t xml:space="preserve"> </w:t>
      </w:r>
      <w:r>
        <w:t xml:space="preserve">expression to GD than linking</w:t>
      </w:r>
      <w:r>
        <w:t xml:space="preserve"> </w:t>
      </w:r>
      <w:r>
        <w:rPr>
          <w:i/>
          <w:iCs/>
        </w:rPr>
        <w:t xml:space="preserve">IGF1R</w:t>
      </w:r>
      <w:r>
        <w:t xml:space="preserve"> </w:t>
      </w:r>
      <w:r>
        <w:t xml:space="preserve">expression to the same outcomes.</w:t>
      </w:r>
      <w:r>
        <w:t xml:space="preserve"> </w:t>
      </w:r>
      <w:r>
        <w:rPr>
          <w:i/>
          <w:iCs/>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
          <w:iCs/>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the distinction between disease susceptibility and therapeutic response is central. Teprotumumab improved outcomes in a randomized trial of active TED [3], while experimental work supports functional interaction between TSHR and IGF-1R in orbital fibroblasts [5]. These observations concern receptor activity in established disease. Our analysis concerns inherited variation associated with blood gene expression and disease odds. Tissue-specific regulation documented by GTEx further cautions against treating blood expression as a complete representation of orbital biology [26]. A receptor can remain relevant to treatment even when this particular genetic analysis provides limited evidence for an expression-mediated susceptibility effect. The</w:t>
      </w:r>
      <w:r>
        <w:t xml:space="preserve"> </w:t>
      </w:r>
      <w:r>
        <w:rPr>
          <w:i/>
          <w:iCs/>
        </w:rPr>
        <w:t xml:space="preserve">IGF1R</w:t>
      </w:r>
      <w:r>
        <w:t xml:space="preserve"> </w:t>
      </w:r>
      <w:r>
        <w:t xml:space="preserve">findings neither challenge the clinical evidence for IGF-1R blockade nor establish an exclusively downstream effector role.</w:t>
      </w:r>
    </w:p>
    <w:p>
      <w:pPr>
        <w:pStyle w:val="BodyText"/>
        <w:widowControl/>
      </w:pPr>
      <w:r>
        <w:t xml:space="preserve">The</w:t>
      </w:r>
      <w:r>
        <w:t xml:space="preserve"> </w:t>
      </w:r>
      <w:r>
        <w:rPr>
          <w:i/>
          <w:iCs/>
        </w:rPr>
        <w:t xml:space="preserve">TSHR</w:t>
      </w:r>
      <w:r>
        <w:t xml:space="preserve"> </w:t>
      </w:r>
      <w:r>
        <w:t xml:space="preserve">findings provide a useful susceptibility anchor, but they require equally careful translation. The established role of TSHR in GD makes an association at this locus biologically coherent [1, 2]. Nonetheless, an OR below one for genetically proxied expression does not imply that increasing TSHR expression or stimulating its receptor would prevent disease. Genetic evidence can inform target prioritization [27], but the measured exposure, relevant tissue, timing and direction of a pharmacologic intervention must still match the proposed mechanism. Here, reconstructed blood expression is neither receptor stimulation nor a drug dose. The strongest defensible interpretation is that</w:t>
      </w:r>
      <w:r>
        <w:t xml:space="preserve"> </w:t>
      </w:r>
      <w:r>
        <w:rPr>
          <w:i/>
          <w:iCs/>
        </w:rPr>
        <w:t xml:space="preserve">TSHR</w:t>
      </w:r>
      <w:r>
        <w:t xml:space="preserve">-region expression and GD susceptibility share genetic support under the primary model in BBJ, with a corresponding signal recovered in the TED-enriched FinnGen outcome.</w:t>
      </w:r>
    </w:p>
    <w:p>
      <w:pPr>
        <w:pStyle w:val="BodyText"/>
        <w:widowControl/>
      </w:pPr>
      <w:r>
        <w:t xml:space="preserve">The UKB result shows why MR and colocalization should be read together.</w:t>
      </w:r>
      <w:r>
        <w:t xml:space="preserve"> </w:t>
      </w:r>
      <w:r>
        <w:rPr>
          <w:i/>
          <w:iCs/>
        </w:rPr>
        <w:t xml:space="preserve">TSHR</w:t>
      </w:r>
      <w:r>
        <w:t xml:space="preserve"> </w:t>
      </w:r>
      <w:r>
        <w:t xml:space="preserve">had a highly significant MR association in UKB, yet the regional evidence favoured distinct expression and disease variants. Colocalization addresses a different question from the association test: whether the two traits plausibly share the same underlying variant [8]. A small</w:t>
      </w:r>
      <w:r>
        <w:t xml:space="preserve"> </w:t>
      </w:r>
      <w:r>
        <w:rPr>
          <w:i/>
          <w:iCs/>
        </w:rPr>
        <w:t xml:space="preserve">P</w:t>
      </w:r>
      <w:r>
        <w:t xml:space="preserve"> </w:t>
      </w:r>
      <w:r>
        <w:t xml:space="preserve">value cannot answer that question by itself. The broader hyperthyroidism phenotype and differences in ancestry or available variants are possible contributors to the outcome contrast, but this study cannot identify which explanation is responsible. Conversely, the divided H2/H4 posterior for</w:t>
      </w:r>
      <w:r>
        <w:t xml:space="preserve"> </w:t>
      </w:r>
      <w:r>
        <w:rPr>
          <w:i/>
          <w:iCs/>
        </w:rPr>
        <w:t xml:space="preserve">IGF1R</w:t>
      </w:r>
      <w:r>
        <w:t xml:space="preserve"> </w:t>
      </w:r>
      <w:r>
        <w:t xml:space="preserve">in UKB should remain unresolved. Calling it negative would discard the shared-variant component, while calling it positive would overstate its support.</w:t>
      </w:r>
    </w:p>
    <w:p>
      <w:pPr>
        <w:pStyle w:val="BodyText"/>
        <w:widowControl/>
      </w:pPr>
      <w:r>
        <w:t xml:space="preserve">The</w:t>
      </w:r>
      <w:r>
        <w:t xml:space="preserve"> </w:t>
      </w:r>
      <w:r>
        <w:rPr>
          <w:i/>
          <w:iCs/>
        </w:rPr>
        <w:t xml:space="preserve">CTLA4</w:t>
      </w:r>
      <w:r>
        <w:t xml:space="preserve"> </w:t>
      </w:r>
      <w:r>
        <w:t xml:space="preserve">comparison also helps define what the combined filter can and cannot establish. As a known autoimmune susceptibility locus [25],</w:t>
      </w:r>
      <w:r>
        <w:t xml:space="preserve"> </w:t>
      </w:r>
      <w:r>
        <w:rPr>
          <w:i/>
          <w:iCs/>
        </w:rPr>
        <w:t xml:space="preserve">CTLA4</w:t>
      </w:r>
      <w:r>
        <w:t xml:space="preserve"> </w:t>
      </w:r>
      <w:r>
        <w:t xml:space="preserve">showed the expected disease-association signal, but its BBJ posterior favoured distinct variants and it did not pass the combined BBJ-plus-FinnGen criterion. This makes it a biologically informative comparator rather than a validating positive control for the full analysis. Among the additional candidates,</w:t>
      </w:r>
      <w:r>
        <w:t xml:space="preserve"> </w:t>
      </w:r>
      <w:r>
        <w:rPr>
          <w:i/>
          <w:iCs/>
        </w:rPr>
        <w:t xml:space="preserve">TNFSF14</w:t>
      </w:r>
      <w:r>
        <w:t xml:space="preserve"> </w:t>
      </w:r>
      <w:r>
        <w:t xml:space="preserve">and</w:t>
      </w:r>
      <w:r>
        <w:t xml:space="preserve"> </w:t>
      </w:r>
      <w:r>
        <w:rPr>
          <w:i/>
          <w:iCs/>
        </w:rPr>
        <w:t xml:space="preserve">IFNGR1</w:t>
      </w:r>
      <w:r>
        <w:t xml:space="preserve"> </w:t>
      </w:r>
      <w:r>
        <w:t xml:space="preserve">had strong shared-variant support only in BBJ, whereas the chromosome 16p11.2 genes were consistent with a shared regional signal. These results support separating association discovery from gene-level prioritization. They complement previous MR studies of GD-related molecular traits [9, 10] by showing how an explicit comparison across outcomes can change the interpretation of statistically significant findings.</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Prior sensitivity answers a separate question:</w:t>
      </w:r>
      <w:r>
        <w:t xml:space="preserve"> </w:t>
      </w:r>
      <w:r>
        <w:rPr>
          <w:i/>
          <w:iCs/>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A clinically useful next step is to test whether these susceptibility patterns relate to eye-disease development among patients who already have GD. A direct GD-with-TED versus GD-without-TED comparison would address that question more closely than population controls. Larger, ancestry-matched molecular datasets from relevant cell types could then assess whether blood-derived signals transfer to orbital tissue. The present orbital observations cannot provide that confirmation: four TED samples and one control support descriptive context only, and altered expression in established disease may reflect its consequences as well as its causes. Accordingly, the genetic and tissue components should guide focused follow-up questions rather than be combined into a claim of demonstrated therapeutic mechanism.</w:t>
      </w:r>
    </w:p>
    <w:bookmarkStart w:id="21"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predominantly European blood-expression data may not transfer fully to East Asian discovery participants or orbital cell types because regulation, linkage patterns and variant availability differ.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
          <w:iCs/>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
          <w:iCs/>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
          <w:iCs/>
        </w:rPr>
        <w:t xml:space="preserve">TSHR</w:t>
      </w:r>
      <w:r>
        <w:t xml:space="preserve"> </w:t>
      </w:r>
      <w:r>
        <w:t xml:space="preserve">in BBJ. Multi-variant colocalization, formal colocalization power and the probability of passing the combined filter were not evaluated. Together with the screen’s limited MR detection range, these constraints leave smaller or otherwise undetected genetic effects unresolved.</w:t>
      </w:r>
    </w:p>
    <w:bookmarkEnd w:id="21"/>
    <w:bookmarkStart w:id="22" w:name="conclusions"/>
    <w:p>
      <w:pPr>
        <w:pStyle w:val="Heading3"/>
        <w:widowControl/>
      </w:pPr>
      <w:r>
        <w:t xml:space="preserve">Conclusions</w:t>
      </w:r>
    </w:p>
    <w:p>
      <w:pPr>
        <w:pStyle w:val="FirstParagraph"/>
        <w:widowControl/>
      </w:pPr>
      <w:r>
        <w:t xml:space="preserve">Within these limits,</w:t>
      </w:r>
      <w:r>
        <w:t xml:space="preserve"> </w:t>
      </w:r>
      <w:r>
        <w:rPr>
          <w:i/>
          <w:iCs/>
        </w:rPr>
        <w:t xml:space="preserve">TSHR</w:t>
      </w:r>
      <w:r>
        <w:t xml:space="preserve"> </w:t>
      </w:r>
      <w:r>
        <w:t xml:space="preserve">showed stronger expression–disease evidence than</w:t>
      </w:r>
      <w:r>
        <w:t xml:space="preserve"> </w:t>
      </w:r>
      <w:r>
        <w:rPr>
          <w:i/>
          <w:iCs/>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
          <w:iCs/>
        </w:rPr>
        <w:t xml:space="preserve">IGF1R</w:t>
      </w:r>
      <w:r>
        <w:t xml:space="preserve"> </w:t>
      </w:r>
      <w:r>
        <w:t xml:space="preserve">and the prior dependence of the BBJ</w:t>
      </w:r>
      <w:r>
        <w:t xml:space="preserve"> </w:t>
      </w:r>
      <w:r>
        <w:rPr>
          <w:i/>
          <w:iCs/>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22"/>
    <w:bookmarkEnd w:id="23"/>
    <w:bookmarkStart w:id="24" w:name="declarations"/>
    <w:p>
      <w:pPr>
        <w:pStyle w:val="Heading2"/>
        <w:widowControl/>
      </w:pPr>
      <w:r>
        <w:t xml:space="preserve">Declarations</w:t>
      </w:r>
    </w:p>
    <w:p>
      <w:pPr>
        <w:pStyle w:val="FirstParagraph"/>
        <w:widowControl/>
      </w:pPr>
      <w:r>
        <w:rPr>
          <w:b/>
          <w:bCs/>
        </w:rPr>
        <w:t xml:space="preserve">Funding.</w:t>
      </w:r>
      <w:r>
        <w:t xml:space="preserve"> </w:t>
      </w:r>
      <w:r>
        <w:t xml:space="preserve">This research received no specific grant from any funding agency in the public, commercial, or not-for-profit sectors.</w:t>
      </w:r>
    </w:p>
    <w:p>
      <w:pPr>
        <w:pStyle w:val="BodyText"/>
        <w:widowControl/>
      </w:pPr>
      <w:r>
        <w:rPr>
          <w:b/>
          <w:bCs/>
        </w:rPr>
        <w:t xml:space="preserve">Conflict of interest.</w:t>
      </w:r>
      <w:r>
        <w:t xml:space="preserve"> </w:t>
      </w:r>
      <w:r>
        <w:t xml:space="preserve">The authors declare that they have no conflict of interest.</w:t>
      </w:r>
    </w:p>
    <w:p>
      <w:pPr>
        <w:pStyle w:val="BodyText"/>
        <w:widowControl/>
      </w:pPr>
      <w:r>
        <w:rPr>
          <w:b/>
          <w:bCs/>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
          <w:bCs/>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
          <w:bCs/>
        </w:rPr>
        <w:t xml:space="preserve">Data availability.</w:t>
      </w:r>
      <w:r>
        <w:t xml:space="preserve"> </w:t>
      </w:r>
      <w:r>
        <w:t xml:space="preserve">Instruments, primary MR and colocalization results, and frequency-sensitivity results are supplied as Supplementary Data 1–4. Analysis code is available from the corresponding author on reasonable request. Public summary statistics analyzed in this study are available from their original repositories: blood</w:t>
      </w:r>
      <w:r>
        <w:t xml:space="preserve"> </w:t>
      </w:r>
      <w:r>
        <w:rPr>
          <w:i/>
          <w:iCs/>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
          <w:bCs/>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
          <w:bCs/>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24"/>
    <w:bookmarkStart w:id="25"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bookmarkEnd w:id="25"/>
    <w:bookmarkStart w:id="26" w:name="figure-legends"/>
    <w:p>
      <w:pPr>
        <w:pStyle w:val="Heading2"/>
        <w:pageBreakBefore/>
        <w:widowControl/>
      </w:pPr>
      <w:r>
        <w:t xml:space="preserve">Figure Legends</w:t>
      </w:r>
    </w:p>
    <w:p>
      <w:pPr>
        <w:pStyle w:val="FirstParagraph"/>
        <w:widowControl/>
      </w:pPr>
      <w:r>
        <w:rPr>
          <w:b/>
          <w:bCs/>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
          <w:iCs/>
        </w:rPr>
        <w:t xml:space="preserve">P</w:t>
      </w:r>
      <w:r>
        <w:t xml:space="preserve"> </w:t>
      </w:r>
      <w:r>
        <w:t xml:space="preserve">&lt; 0.05/2,544; all 2,234 estimable genes are plotted and all 13 discovery genes are labelled.</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
          <w:bCs/>
        </w:rPr>
        <w:t xml:space="preserve">Figure 2. Association estimates and regional genetic evidence for the three selected genes.</w:t>
      </w:r>
      <w:r>
        <w:t xml:space="preserve"> </w:t>
      </w:r>
      <w:r>
        <w:t xml:space="preserve">(A) Primary ORs and 95% CIs, with corresponding two-sided</w:t>
      </w:r>
      <w:r>
        <w:t xml:space="preserve"> </w:t>
      </w:r>
      <w:r>
        <w:rPr>
          <w:i/>
          <w:iCs/>
        </w:rPr>
        <w:t xml:space="preserve">P</w:t>
      </w:r>
      <w:r>
        <w:t xml:space="preserve"> </w:t>
      </w:r>
      <w:r>
        <w:t xml:space="preserve">values.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
          <w:iCs/>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
          <w:bCs/>
        </w:rPr>
        <w:t xml:space="preserve">Figure 3. Shared-variant evidence across candidates and sensitivity to prior assumptions.</w:t>
      </w:r>
      <w:r>
        <w:t xml:space="preserve"> </w:t>
      </w:r>
      <w:r>
        <w:t xml:space="preserve">(A) Primary-prior PP.H4 values for all nine evaluated genes and three outcomes. Outlined cells meet the ≥0.80 threshold; probabilities below 0.001 are labelled &lt;0.001. A gene passes the combined criterion only when both BBJ and FinnGen meet that threshold; UKB is an additional comparison.</w:t>
      </w:r>
      <w:r>
        <w:t xml:space="preserve"> </w:t>
      </w:r>
      <w:r>
        <w:rPr>
          <w:i/>
          <w:iCs/>
        </w:rPr>
        <w:t xml:space="preserve">TSHR</w:t>
      </w:r>
      <w:r>
        <w:t xml:space="preserve">,</w:t>
      </w:r>
      <w:r>
        <w:t xml:space="preserve"> </w:t>
      </w:r>
      <w:r>
        <w:rPr>
          <w:i/>
          <w:iCs/>
        </w:rPr>
        <w:t xml:space="preserve">IGF1R</w:t>
      </w:r>
      <w:r>
        <w:t xml:space="preserve"> </w:t>
      </w:r>
      <w:r>
        <w:t xml:space="preserve">and</w:t>
      </w:r>
      <w:r>
        <w:t xml:space="preserve"> </w:t>
      </w:r>
      <w:r>
        <w:rPr>
          <w:i/>
          <w:iCs/>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S3–S4 report the separate cohort-frequency sensitivity. Full H0–H4 probabilities and all 81 gene–outcome–prior settings are in Supplementary Data 3.</w:t>
      </w:r>
    </w:p>
    <w:bookmarkEnd w:id="26"/>
    <w:bookmarkStart w:id="27" w:name="tables"/>
    <w:p>
      <w:pPr>
        <w:sectPr>
          <w:footerReference w:type="default" r:id="rId9"/>
          <w:footerReference w:type="first" r:id="rId10"/>
          <w:footerReference w:type="even" r:id="rId11"/>
          <w:footnotePr>
            <w:numRestart w:val="eachSect"/>
          </w:footnotePr>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
          <w:bCs/>
          <w:sz w:val="20"/>
        </w:rPr>
        <w:t xml:space="preserve">Table 1. Data sources and roles in the study</w:t>
      </w:r>
    </w:p>
    <w:tbl>
      <w:tblPr>
        <w:tblW w:type="dxa" w:w="14818"/>
        <w:jc w:val="center"/>
        <w:tblLayout w:type="fixed"/>
        <w:tblLook w:firstColumn="1" w:firstRow="1" w:lastColumn="0" w:lastRow="0" w:noHBand="0" w:noVBand="1" w:val="04A0"/>
      </w:tblPr>
      <w:tblGrid>
        <w:gridCol w:w="4349"/>
        <w:gridCol w:w="2899"/>
        <w:gridCol w:w="1288"/>
        <w:gridCol w:w="1450"/>
        <w:gridCol w:w="4832"/>
      </w:tblGrid>
      <w:tr>
        <w:trPr>
          <w:cantSplit/>
          <w:tblHeader/>
        </w:trPr>
        <w:tc>
          <w:tcPr>
            <w:tcW w:type="dxa" w:w="434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289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128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45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483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434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289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128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45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483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
          <w:bCs/>
          <w:sz w:val="20"/>
        </w:rPr>
        <w:t xml:space="preserve">Table 2. Primary associations for the three selected genes</w:t>
      </w:r>
    </w:p>
    <w:tbl>
      <w:tblPr>
        <w:tblW w:type="dxa" w:w="14818"/>
        <w:jc w:val="center"/>
        <w:tblLayout w:type="fixed"/>
        <w:tblLook w:firstColumn="1" w:firstRow="1" w:lastColumn="0" w:lastRow="0" w:noHBand="0" w:noVBand="1" w:val="04A0"/>
      </w:tblPr>
      <w:tblGrid>
        <w:gridCol w:w="2117"/>
        <w:gridCol w:w="2117"/>
        <w:gridCol w:w="2117"/>
        <w:gridCol w:w="2117"/>
        <w:gridCol w:w="2117"/>
        <w:gridCol w:w="2117"/>
        <w:gridCol w:w="2117"/>
      </w:tblGrid>
      <w:tr>
        <w:trPr>
          <w:cantSplit/>
          <w:tblHeader/>
        </w:trPr>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211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Instruments</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OR (95% CI)</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Distinct variants (PP.H3)</w:t>
            </w:r>
          </w:p>
        </w:tc>
        <w:tc>
          <w:tcPr>
            <w:tcW w:type="dxa" w:w="2117"/>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Shared variant (PP.H4)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0.049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0.774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0.226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0.014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0.986</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0.236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0.073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0.196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0.404</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IGF1R</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0.182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0.346</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0.032</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0.799</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0.201</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0.047</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0.953</w:t>
            </w:r>
          </w:p>
        </w:tc>
      </w:tr>
      <w:tr>
        <w:trPr>
          <w:cantSplit/>
        </w:trPr>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211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0.022</w:t>
            </w:r>
          </w:p>
        </w:tc>
        <w:tc>
          <w:tcPr>
            <w:tcW w:type="dxa" w:w="2117"/>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0.978</w:t>
            </w:r>
          </w:p>
        </w:tc>
      </w:tr>
    </w:tbl>
    <w:p>
      <w:pPr>
        <w:pStyle w:val="BodyText"/>
        <w:widowControl/>
        <w:spacing w:line="264" w:lineRule="auto" w:after="140"/>
      </w:pPr>
      <w:r>
        <w:rPr>
          <w:sz w:val="20"/>
        </w:rPr>
        <w:t xml:space="preserve">ORs are per unit increase in reconstructed, genetically proxied blood expression. Wald ratio was used for one instrument and IVW for multiple instruments.</w:t>
      </w:r>
      <w:r>
        <w:rPr>
          <w:sz w:val="20"/>
        </w:rPr>
        <w:t xml:space="preserve"> </w:t>
      </w:r>
      <w:r>
        <w:rPr>
          <w:i/>
          <w:iCs/>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
          <w:iCs/>
          <w:sz w:val="20"/>
        </w:rPr>
        <w:t xml:space="preserve">P</w:t>
      </w:r>
      <w:r>
        <w:rPr>
          <w:sz w:val="20"/>
        </w:rPr>
        <w:t xml:space="preserve"> </w:t>
      </w:r>
      <w:r>
        <w:rPr>
          <w:sz w:val="20"/>
        </w:rPr>
        <w:t xml:space="preserve">&lt; 1.965×10⁻⁵;</w:t>
      </w:r>
      <w:r>
        <w:rPr>
          <w:sz w:val="20"/>
        </w:rPr>
        <w:t xml:space="preserve"> </w:t>
      </w:r>
      <w:r>
        <w:rPr>
          <w:i/>
          <w:iCs/>
          <w:sz w:val="20"/>
        </w:rPr>
        <w:t xml:space="preserve">P</w:t>
      </w:r>
      <w:r>
        <w:rPr>
          <w:sz w:val="20"/>
        </w:rPr>
        <w:t xml:space="preserve"> </w:t>
      </w:r>
      <w:r>
        <w:rPr>
          <w:sz w:val="20"/>
        </w:rPr>
        <w:t xml:space="preserve">&lt; 0.05 in other outcomes is nominal support. PP.H3 and PP.H4 are the colocalization posterior probabilities of two distinct causal variants and of one shared causal variant; they are model-based measures of support, not</w:t>
      </w:r>
      <w:r>
        <w:rPr>
          <w:sz w:val="20"/>
        </w:rPr>
        <w:t xml:space="preserve"> </w:t>
      </w:r>
      <w:r>
        <w:rPr>
          <w:i/>
          <w:iCs/>
          <w:sz w:val="20"/>
        </w:rPr>
        <w:t xml:space="preserve">P</w:t>
      </w:r>
      <w:r>
        <w:rPr>
          <w:sz w:val="20"/>
        </w:rPr>
        <w:t xml:space="preserve"> </w:t>
      </w:r>
      <w:r>
        <w:rPr>
          <w:sz w:val="20"/>
        </w:rPr>
        <w:t xml:space="preserve">values, and ≥0.80 was the criterion for strong support. The two do not sum to one: the remainder is mostly PP.H2, an expression association without a resolved disease signal, which is why the</w:t>
      </w:r>
      <w:r>
        <w:rPr>
          <w:sz w:val="20"/>
        </w:rPr>
        <w:t xml:space="preserve"> </w:t>
      </w:r>
      <w:r>
        <w:rPr>
          <w:i/>
          <w:iCs/>
          <w:sz w:val="20"/>
        </w:rPr>
        <w:t xml:space="preserve">IGF1R</w:t>
      </w:r>
      <w:r>
        <w:rPr>
          <w:sz w:val="20"/>
        </w:rPr>
        <w:t xml:space="preserve"> </w:t>
      </w:r>
      <w:r>
        <w:rPr>
          <w:sz w:val="20"/>
        </w:rPr>
        <w:t xml:space="preserve">results are reported as unresolved rather than as evidence of distinct variants. Full PP.H0–PP.H4 are in Supplementary Data 3. All nine estimates are shown. Sensitivity results are in Tables S1–S3.</w:t>
      </w:r>
    </w:p>
    <w:p>
      <w:pPr>
        <w:pStyle w:val="BodyText"/>
        <w:keepNext/>
        <w:pageBreakBefore/>
        <w:widowControl/>
        <w:spacing w:line="264" w:lineRule="auto" w:after="140"/>
      </w:pPr>
      <w:r>
        <w:rPr>
          <w:b/>
          <w:bCs/>
          <w:sz w:val="20"/>
        </w:rPr>
        <w:t xml:space="preserve">Table 3. All thirteen discovery associations</w:t>
      </w:r>
    </w:p>
    <w:tbl>
      <w:tblPr>
        <w:tblW w:type="dxa" w:w="14818"/>
        <w:jc w:val="center"/>
        <w:tblLayout w:type="fixed"/>
        <w:tblLook w:firstColumn="1" w:firstRow="1" w:lastColumn="0" w:lastRow="0" w:noHBand="0" w:noVBand="1" w:val="04A0"/>
      </w:tblPr>
      <w:tblGrid>
        <w:gridCol w:w="1674"/>
        <w:gridCol w:w="1339"/>
        <w:gridCol w:w="4018"/>
        <w:gridCol w:w="1758"/>
        <w:gridCol w:w="6027"/>
      </w:tblGrid>
      <w:tr>
        <w:trPr>
          <w:cantSplit/>
          <w:tblHeader/>
        </w:trPr>
        <w:tc>
          <w:tcPr>
            <w:tcW w:type="dxa" w:w="167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39"/>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401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75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i/>
                <w:iCs/>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602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HLA-DQA2</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CTLA4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TSHR</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C4A</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HSD3B7</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TUBB</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VKORC1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TNFSF14</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PRSS36</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MAPKAPK5</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0.98 (0.97–0.99)</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PSMB8</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674"/>
            <w:vAlign w:val="center"/>
            <w:tcMar>
              <w:top w:w="80" w:type="dxa"/>
              <w:bottom w:w="80" w:type="dxa"/>
              <w:left w:w="80" w:type="dxa"/>
              <w:right w:w="80" w:type="dxa"/>
            </w:tcMar>
          </w:tcPr>
          <w:p>
            <w:pPr>
              <w:keepNext w:val="0"/>
              <w:spacing w:line="252" w:lineRule="auto" w:before="0" w:after="0"/>
              <w:jc w:val="left"/>
            </w:pPr>
            <w:r>
              <w:rPr>
                <w:rFonts w:ascii="Times New Roman" w:hAnsi="Times New Roman"/>
                <w:i/>
                <w:iCs/>
                <w:sz w:val="20"/>
              </w:rPr>
              <w:t xml:space="preserve">IFNGR1</w:t>
            </w:r>
          </w:p>
        </w:tc>
        <w:tc>
          <w:tcPr>
            <w:tcW w:type="dxa" w:w="1339"/>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401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758"/>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6027"/>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
          <w:iCs/>
          <w:sz w:val="20"/>
        </w:rPr>
        <w:t xml:space="preserve">P</w:t>
      </w:r>
      <w:r>
        <w:rPr>
          <w:sz w:val="20"/>
        </w:rPr>
        <w:t xml:space="preserve"> </w:t>
      </w:r>
      <w:r>
        <w:rPr>
          <w:sz w:val="20"/>
        </w:rPr>
        <w:t xml:space="preserve">value. The</w:t>
      </w:r>
      <w:r>
        <w:rPr>
          <w:sz w:val="20"/>
        </w:rPr>
        <w:t xml:space="preserve"> </w:t>
      </w:r>
      <w:r>
        <w:rPr>
          <w:i/>
          <w:iCs/>
          <w:sz w:val="20"/>
        </w:rPr>
        <w:t xml:space="preserve">MAPKAPK5</w:t>
      </w:r>
      <w:r>
        <w:rPr>
          <w:sz w:val="20"/>
        </w:rPr>
        <w:t xml:space="preserve"> </w:t>
      </w:r>
      <w:r>
        <w:rPr>
          <w:sz w:val="20"/>
        </w:rPr>
        <w:t xml:space="preserve">estimate is 0.977 (0.967–0.987) at three decimals: a precisely estimated but very small per-unit effect, not a weak one.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27"/>
    <w:bookmarkEnd w:id="28"/>
    <w:sectPr>
      <w:footnotePr>
        <w:numRestart w:val="eachSect"/>
      </w:footnote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qFormat/>
    <w:pPr>
      <w:spacing w:after="0" w:before="180" w:line="480" w:lineRule="auto"/>
    </w:pPr>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Genetic evidence for TSHR and IGF1R in Graves disease and thyroid eye disease</dc:title>
  <dc:creator>Jungyul Park; Min-Seon Kim; Kyung-Hwa Shin; Suk-Woo Yang</dc:creator>
  <cp:keywords/>
  <dcterms:created xsi:type="dcterms:W3CDTF">2026-09-12T14:07:38Z</dcterms:created>
  <dcterms:modified xsi:type="dcterms:W3CDTF">2026-09-12T14:07:38Z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