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/>
          <w:bCs/>
          <w:sz w:val="20"/>
        </w:rPr>
        <w:t xml:space="preserve">Table 2. Primary associations for the three selected genes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2117"/>
        <w:gridCol w:w="2117"/>
        <w:gridCol w:w="2117"/>
        <w:gridCol w:w="2117"/>
        <w:gridCol w:w="2117"/>
        <w:gridCol w:w="2117"/>
        <w:gridCol w:w="2117"/>
      </w:tblGrid>
      <w:tr>
        <w:trPr>
          <w:cantSplit/>
          <w:tblHeader/>
        </w:trPr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Gene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Outcome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Instruments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OR (95% CI)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i/>
                <w:iCs/>
                <w:sz w:val="20"/>
              </w:rPr>
              <w:t xml:space="preserve">P</w:t>
            </w:r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sz w:val="20"/>
              </w:rPr>
              <w:t xml:space="preserve">value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Distinct variants (PP.H3)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Shared variant (PP.H4)</w:t>
            </w:r>
          </w:p>
        </w:tc>
      </w:tr>
      <w:tr>
        <w:trPr>
          <w:cantSplit/>
        </w:trPr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TSHR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0.12 (0.07–0.21)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1.09×10⁻¹⁴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0.049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0.951</w:t>
            </w:r>
          </w:p>
        </w:tc>
      </w:tr>
      <w:tr>
        <w:trPr>
          <w:cantSplit/>
        </w:trPr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TSHR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0.09 (0.06–0.14)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8.77×10⁻²⁸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0.774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0.226</w:t>
            </w:r>
          </w:p>
        </w:tc>
      </w:tr>
      <w:tr>
        <w:trPr>
          <w:cantSplit/>
        </w:trPr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TSHR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0.10 (0.04–0.24)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2.82×10⁻⁷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0.014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0.986</w:t>
            </w:r>
          </w:p>
        </w:tc>
      </w:tr>
      <w:tr>
        <w:trPr>
          <w:cantSplit/>
        </w:trPr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IGF1R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1.56 (1.07–2.28)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0.0212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0.236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0.073</w:t>
            </w:r>
          </w:p>
        </w:tc>
      </w:tr>
      <w:tr>
        <w:trPr>
          <w:cantSplit/>
        </w:trPr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IGF1R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1.35 (1.07–1.70)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0.0117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0.196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0.404</w:t>
            </w:r>
          </w:p>
        </w:tc>
      </w:tr>
      <w:tr>
        <w:trPr>
          <w:cantSplit/>
        </w:trPr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IGF1R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1.41 (0.85–2.33)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0.182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0.346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0.032</w:t>
            </w:r>
          </w:p>
        </w:tc>
      </w:tr>
      <w:tr>
        <w:trPr>
          <w:cantSplit/>
        </w:trPr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CTLA4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0.18 (0.11–0.27)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5.45×10⁻¹⁵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0.799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0.201</w:t>
            </w:r>
          </w:p>
        </w:tc>
      </w:tr>
      <w:tr>
        <w:trPr>
          <w:cantSplit/>
        </w:trPr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CTLA4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0.21 (0.08–0.57)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0.0022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0.047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0.953</w:t>
            </w:r>
          </w:p>
        </w:tc>
      </w:tr>
      <w:tr>
        <w:trPr>
          <w:cantSplit/>
        </w:trPr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CTLA4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0.17 (0.04–0.68)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0.0118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0.022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0.978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ORs are per unit increase in reconstructed, genetically proxied blood expression. Wald ratio was used for one instrument and IVW for multiple instruments.</w:t>
      </w:r>
      <w:r>
        <w:rPr>
          <w:sz w:val="20"/>
        </w:rPr>
        <w:t xml:space="preserve"> </w:t>
      </w:r>
      <w:r>
        <w:rPr>
          <w:i/>
          <w:iCs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values are two-sided and shown to three significant digits. BBJ discovery significance requires</w:t>
      </w:r>
      <w:r>
        <w:rPr>
          <w:sz w:val="20"/>
        </w:rPr>
        <w:t xml:space="preserve"> </w:t>
      </w:r>
      <w:r>
        <w:rPr>
          <w:i/>
          <w:iCs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&lt; 1.965×10⁻⁵;</w:t>
      </w:r>
      <w:r>
        <w:rPr>
          <w:sz w:val="20"/>
        </w:rPr>
        <w:t xml:space="preserve"> </w:t>
      </w:r>
      <w:r>
        <w:rPr>
          <w:i/>
          <w:iCs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&lt; 0.05 in other outcomes is nominal support. PP.H3 and PP.H4 are the colocalization posterior probabilities of two distinct causal variants and of one shared causal variant; they are model-based measures of support, not</w:t>
      </w:r>
      <w:r>
        <w:rPr>
          <w:sz w:val="20"/>
        </w:rPr>
        <w:t xml:space="preserve"> </w:t>
      </w:r>
      <w:r>
        <w:rPr>
          <w:i/>
          <w:iCs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values, and ≥0.80 was the criterion for strong support. The two do not sum to one: the remainder is mostly PP.H2, an expression association without a resolved disease signal, which is why the</w:t>
      </w:r>
      <w:r>
        <w:rPr>
          <w:sz w:val="20"/>
        </w:rPr>
        <w:t xml:space="preserve"> </w:t>
      </w:r>
      <w:r>
        <w:rPr>
          <w:i/>
          <w:iCs/>
          <w:sz w:val="20"/>
        </w:rPr>
        <w:t xml:space="preserve">IGF1R</w:t>
      </w:r>
      <w:r>
        <w:rPr>
          <w:sz w:val="20"/>
        </w:rPr>
        <w:t xml:space="preserve"> </w:t>
      </w:r>
      <w:r>
        <w:rPr>
          <w:sz w:val="20"/>
        </w:rPr>
        <w:t xml:space="preserve">results are reported as unresolved rather than as evidence of distinct variants. Full PP.H0–PP.H4 are in Supplementary Data 3. All nine estimates are shown. Sensitivity results are in Tables S1–S3.</w:t>
      </w:r>
    </w:p>
    <w:sectPr>
      <w:footnotePr>
        <w:numRestart w:val="eachSect"/>
      </w:footnotePr>
      <w:pgSz w:w="16834" w:h="11909" w:orient="landscape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0" w:before="180" w:line="480" w:lineRule="auto"/>
    </w:pPr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8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120" w:line="276" w:lineRule="auto" w:before="240"/>
      <w:contextualSpacing/>
      <w:jc w:val="center"/>
    </w:pPr>
    <w:rPr>
      <w:rFonts w:asciiTheme="majorHAnsi" w:cstheme="majorBidi" w:eastAsiaTheme="majorEastAsia" w:hAnsiTheme="majorHAnsi" w:ascii="Times New Roman" w:hAnsi="Times New Roman"/>
      <w:b/>
      <w:color w:val="000000"/>
      <w:sz w:val="3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40" w:line="276" w:lineRule="auto"/>
      <w:outlineLvl w:val="0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 w:line="276" w:lineRule="auto"/>
      <w:outlineLvl w:val="1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 w:line="276" w:lineRule="auto"/>
      <w:outlineLvl w:val="2"/>
    </w:pPr>
    <w:rPr>
      <w:rFonts w:cstheme="majorBidi" w:eastAsiaTheme="majorEastAsia" w:ascii="Times New Roman" w:hAnsi="Times New Roman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40" w:line="276" w:lineRule="auto"/>
      <w:outlineLvl w:val="3"/>
    </w:pPr>
    <w:rPr>
      <w:rFonts w:cstheme="majorBidi" w:eastAsiaTheme="majorEastAsia" w:ascii="Times New Roman" w:hAnsi="Times New Roman"/>
      <w:b/>
      <w:i/>
      <w:iCs/>
      <w:color w:val="000000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80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2</dc:title>
  <dc:creator>Jungyul Park; Min-Seon Kim; Kyung-Hwa Shin; Suk-Woo Yang</dc:creator>
  <cp:keywords/>
  <dcterms:created xsi:type="dcterms:W3CDTF">2026-09-12T14:07:38Z</dcterms:created>
  <dcterms:modified xsi:type="dcterms:W3CDTF">2026-09-12T14:07:38Z</dcterms:modified>
  <dc:identifier>Table2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