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8"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
          <w:iCs/>
        </w:rPr>
        <w:t xml:space="preserve">TSHR</w:t>
      </w:r>
      <w:r>
        <w:t xml:space="preserve"> </w:t>
      </w:r>
      <w:r>
        <w:t xml:space="preserve">and</w:t>
      </w:r>
      <w:r>
        <w:t xml:space="preserve"> </w:t>
      </w:r>
      <w:r>
        <w:rPr>
          <w:i/>
          <w:iCs/>
        </w:rPr>
        <w:t xml:space="preserve">IGF1R</w:t>
      </w:r>
      <w:r>
        <w:t xml:space="preserve"> </w:t>
      </w:r>
      <w:r>
        <w:t xml:space="preserve">expression to disease susceptibility.</w:t>
      </w:r>
      <w:r>
        <w:t xml:space="preserve"> </w:t>
      </w:r>
      <w:r>
        <w:rPr>
          <w:b/>
          <w:bCs/>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
          <w:bCs/>
        </w:rPr>
        <w:t xml:space="preserve">Results:</w:t>
      </w:r>
      <w:r>
        <w:t xml:space="preserve"> </w:t>
      </w:r>
      <w:r>
        <w:t xml:space="preserve">Higher genetically proxied</w:t>
      </w:r>
      <w:r>
        <w:t xml:space="preserve"> </w:t>
      </w:r>
      <w:r>
        <w:rPr>
          <w:i/>
          <w:iCs/>
        </w:rPr>
        <w:t xml:space="preserve">TSHR</w:t>
      </w:r>
      <w:r>
        <w:t xml:space="preserve"> </w:t>
      </w:r>
      <w:r>
        <w:t xml:space="preserve">expression was associated with lower GD odds;</w:t>
      </w:r>
      <w:r>
        <w:t xml:space="preserve"> </w:t>
      </w:r>
      <w:r>
        <w:rPr>
          <w:i/>
          <w:iCs/>
        </w:rPr>
        <w:t xml:space="preserve">IGF1R</w:t>
      </w:r>
      <w:r>
        <w:t xml:space="preserve"> </w:t>
      </w:r>
      <w:r>
        <w:t xml:space="preserve">findings were less conclusive. Thirteen genes met the multiple-testing threshold. Per approximately one standard deviation higher blood</w:t>
      </w:r>
      <w:r>
        <w:t xml:space="preserve"> </w:t>
      </w:r>
      <w:r>
        <w:rPr>
          <w:i/>
          <w:iCs/>
        </w:rPr>
        <w:t xml:space="preserve">TSHR</w:t>
      </w:r>
      <w:r>
        <w:t xml:space="preserve"> </w:t>
      </w:r>
      <w:r>
        <w:t xml:space="preserve">expression, the BBJ odds ratio (OR) was 0.12 (95% confidence interval [CI] 0.07–0.21;</w:t>
      </w:r>
      <w:r>
        <w:t xml:space="preserve"> </w:t>
      </w:r>
      <w:r>
        <w:rPr>
          <w:i/>
          <w:iCs/>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
          <w:iCs/>
        </w:rPr>
        <w:t xml:space="preserve">IGF1R</w:t>
      </w:r>
      <w:r>
        <w:t xml:space="preserve"> </w:t>
      </w:r>
      <w:r>
        <w:t xml:space="preserve">did not meet the discovery threshold or show strong shared-variant support. Associations reached</w:t>
      </w:r>
      <w:r>
        <w:t xml:space="preserve"> </w:t>
      </w:r>
      <w:r>
        <w:rPr>
          <w:i/>
          <w:iCs/>
        </w:rPr>
        <w:t xml:space="preserve">P</w:t>
      </w:r>
      <w:r>
        <w:t xml:space="preserve"> </w:t>
      </w:r>
      <w:r>
        <w:t xml:space="preserve">&lt; 0.05 in BBJ (OR 1.56, 95% CI 1.07–2.28;</w:t>
      </w:r>
      <w:r>
        <w:t xml:space="preserve"> </w:t>
      </w:r>
      <w:r>
        <w:rPr>
          <w:i/>
          <w:iCs/>
        </w:rPr>
        <w:t xml:space="preserve">P</w:t>
      </w:r>
      <w:r>
        <w:t xml:space="preserve"> </w:t>
      </w:r>
      <w:r>
        <w:t xml:space="preserve">= 0.0212) and UKB (</w:t>
      </w:r>
      <w:r>
        <w:rPr>
          <w:i/>
          <w:iCs/>
        </w:rPr>
        <w:t xml:space="preserve">P</w:t>
      </w:r>
      <w:r>
        <w:t xml:space="preserve"> </w:t>
      </w:r>
      <w:r>
        <w:t xml:space="preserve">= 0.0117), but were inconclusive in FinnGen (</w:t>
      </w:r>
      <w:r>
        <w:rPr>
          <w:i/>
          <w:iCs/>
        </w:rPr>
        <w:t xml:space="preserve">P</w:t>
      </w:r>
      <w:r>
        <w:t xml:space="preserve"> </w:t>
      </w:r>
      <w:r>
        <w:t xml:space="preserve">= 0.182). No additional gene had strong shared-variant support in BBJ and FinnGen. Using cohort allele frequencies preserved these findings.</w:t>
      </w:r>
      <w:r>
        <w:t xml:space="preserve"> </w:t>
      </w:r>
      <w:r>
        <w:rPr>
          <w:b/>
          <w:bCs/>
        </w:rPr>
        <w:t xml:space="preserve">Conclusions:</w:t>
      </w:r>
      <w:r>
        <w:t xml:space="preserve"> </w:t>
      </w:r>
      <w:r>
        <w:t xml:space="preserve">Evidence linking genetically proxied blood expression to GD susceptibility was stronger for</w:t>
      </w:r>
      <w:r>
        <w:t xml:space="preserve"> </w:t>
      </w:r>
      <w:r>
        <w:rPr>
          <w:i/>
          <w:iCs/>
        </w:rPr>
        <w:t xml:space="preserve">TSHR</w:t>
      </w:r>
      <w:r>
        <w:t xml:space="preserve"> </w:t>
      </w:r>
      <w:r>
        <w:t xml:space="preserve">than</w:t>
      </w:r>
      <w:r>
        <w:t xml:space="preserve"> </w:t>
      </w:r>
      <w:r>
        <w:rPr>
          <w:i/>
          <w:iCs/>
        </w:rPr>
        <w:t xml:space="preserve">IGF1R</w:t>
      </w:r>
      <w:r>
        <w:t xml:space="preserve">. This neither establishes a TED-specific effect within GD nor predicts treatment response.</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
          <w:iCs/>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This Bonferroni correction is conservative when gene-level tests are correlated.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
          <w:iCs/>
        </w:rPr>
        <w:t xml:space="preserve">P</w:t>
      </w:r>
      <w:r>
        <w:t xml:space="preserve"> </w:t>
      </w:r>
      <w:r>
        <w:t xml:space="preserve">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[23].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
          <w:iCs/>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S2–S3).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
          <w:iCs/>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
          <w:iCs/>
        </w:rPr>
        <w:t xml:space="preserve">IGF1R</w:t>
      </w:r>
      <w:r>
        <w:t xml:space="preserve"> </w:t>
      </w:r>
      <w:r>
        <w:t xml:space="preserve">SNP-exclusion estimates retained the higher-odds direction, but omitting rs2654980 yielded OR 1.49 (95% CI 0.96–2.30;</w:t>
      </w:r>
      <w:r>
        <w:t xml:space="preserve"> </w:t>
      </w:r>
      <w:r>
        <w:rPr>
          <w:i/>
          <w:iCs/>
        </w:rPr>
        <w:t xml:space="preserve">P</w:t>
      </w:r>
      <w:r>
        <w:t xml:space="preserve"> </w:t>
      </w:r>
      <w:r>
        <w:t xml:space="preserve">= 0.0751) in BBJ and OR 1.16 (0.78–1.72;</w:t>
      </w:r>
      <w:r>
        <w:t xml:space="preserve"> </w:t>
      </w:r>
      <w:r>
        <w:rPr>
          <w:i/>
          <w:iCs/>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BBJ Graves disease and FinnGen Graves ophthalmopathy;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[25] was associated with lower odds of disease in BBJ (OR 0.18, 95% CI 0.11–0.27;</w:t>
      </w:r>
      <w:r>
        <w:t xml:space="preserve"> </w:t>
      </w:r>
      <w:r>
        <w:rPr>
          <w:i/>
          <w:iCs/>
        </w:rPr>
        <w:t xml:space="preserve">P</w:t>
      </w:r>
      <w:r>
        <w:t xml:space="preserve"> </w:t>
      </w:r>
      <w:r>
        <w:t xml:space="preserve">= 5.45×10⁻¹⁵), UKB (OR 0.21, 95% CI 0.08–0.57;</w:t>
      </w:r>
      <w:r>
        <w:t xml:space="preserve"> </w:t>
      </w:r>
      <w:r>
        <w:rPr>
          <w:i/>
          <w:iCs/>
        </w:rPr>
        <w:t xml:space="preserve">P</w:t>
      </w:r>
      <w:r>
        <w:t xml:space="preserve"> </w:t>
      </w:r>
      <w:r>
        <w:t xml:space="preserve">= 0.0022) and FinnGen (OR 0.17, 95% CI 0.04–0.68;</w:t>
      </w:r>
      <w:r>
        <w:t xml:space="preserve"> </w:t>
      </w:r>
      <w:r>
        <w:rPr>
          <w:i/>
          <w:iCs/>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
          <w:iCs/>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 (0.994 and 0.989); the corresponding FinnGen probabilities were 0.017 and 0.020 (Figure 3A).</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
          <w:iCs/>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
          <w:iCs/>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3"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
          <w:iCs/>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
          <w:iCs/>
        </w:rPr>
        <w:t xml:space="preserve">TSHR</w:t>
      </w:r>
      <w:r>
        <w:t xml:space="preserve"> </w:t>
      </w:r>
      <w:r>
        <w:t xml:space="preserve">estimate is compatible with a central-tolerance hypothesis. Human thymic studies associated the GD-protective rs179247 allele with greater intrathymic</w:t>
      </w:r>
      <w:r>
        <w:t xml:space="preserve"> </w:t>
      </w:r>
      <w:r>
        <w:rPr>
          <w:i/>
          <w:iCs/>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
          <w:iCs/>
        </w:rPr>
        <w:t xml:space="preserve">TSHR</w:t>
      </w:r>
      <w:r>
        <w:t xml:space="preserve"> </w:t>
      </w:r>
      <w:r>
        <w:t xml:space="preserve">and BBJ</w:t>
      </w:r>
      <w:r>
        <w:t xml:space="preserve"> </w:t>
      </w:r>
      <w:r>
        <w:rPr>
          <w:i/>
          <w:iCs/>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
          <w:iCs/>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
          <w:iCs/>
        </w:rPr>
        <w:t xml:space="preserve">IGF1R</w:t>
      </w:r>
      <w:r>
        <w:t xml:space="preserve"> </w:t>
      </w:r>
      <w:r>
        <w:t xml:space="preserve">significance was sensitive to instrument omission and that European</w:t>
      </w:r>
      <w:r>
        <w:t xml:space="preserve"> </w:t>
      </w:r>
      <w:r>
        <w:rPr>
          <w:i/>
          <w:iCs/>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
          <w:iCs/>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21"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
          <w:iCs/>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
          <w:iCs/>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
          <w:iCs/>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21"/>
    <w:bookmarkStart w:id="22" w:name="conclusions"/>
    <w:p>
      <w:pPr>
        <w:pStyle w:val="Heading3"/>
        <w:widowControl/>
      </w:pPr>
      <w:r>
        <w:t xml:space="preserve">Conclusions</w:t>
      </w:r>
    </w:p>
    <w:p>
      <w:pPr>
        <w:pStyle w:val="FirstParagraph"/>
        <w:widowControl/>
      </w:pPr>
      <w:r>
        <w:t xml:space="preserve">Within these limits,</w:t>
      </w:r>
      <w:r>
        <w:t xml:space="preserve"> </w:t>
      </w:r>
      <w:r>
        <w:rPr>
          <w:i/>
          <w:iCs/>
        </w:rPr>
        <w:t xml:space="preserve">TSHR</w:t>
      </w:r>
      <w:r>
        <w:t xml:space="preserve"> </w:t>
      </w:r>
      <w:r>
        <w:t xml:space="preserve">showed stronger expression–disease evidence than</w:t>
      </w:r>
      <w:r>
        <w:t xml:space="preserve"> </w:t>
      </w:r>
      <w:r>
        <w:rPr>
          <w:i/>
          <w:iCs/>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
          <w:iCs/>
        </w:rPr>
        <w:t xml:space="preserve">IGF1R</w:t>
      </w:r>
      <w:r>
        <w:t xml:space="preserve"> </w:t>
      </w:r>
      <w:r>
        <w:t xml:space="preserve">and the prior dependence of the BBJ</w:t>
      </w:r>
      <w:r>
        <w:t xml:space="preserve"> </w:t>
      </w:r>
      <w:r>
        <w:rPr>
          <w:i/>
          <w:iCs/>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22"/>
    <w:bookmarkEnd w:id="23"/>
    <w:bookmarkStart w:id="24"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4"/>
    <w:bookmarkStart w:id="25"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25"/>
    <w:bookmarkStart w:id="26" w:name="figure-legends"/>
    <w:p>
      <w:pPr>
        <w:pStyle w:val="Heading2"/>
        <w:pageBreakBefore/>
        <w:widowControl/>
      </w:pPr>
      <w:r>
        <w:t xml:space="preserve">Figure Legends</w:t>
      </w:r>
    </w:p>
    <w:p>
      <w:pPr>
        <w:pStyle w:val="FirstParagraph"/>
        <w:widowControl/>
      </w:pPr>
      <w:r>
        <w:rPr>
          <w:b/>
          <w:bCs/>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
          <w:iCs/>
        </w:rPr>
        <w:t xml:space="preserve">P</w:t>
      </w:r>
      <w:r>
        <w:t xml:space="preserve"> </w:t>
      </w:r>
      <w:r>
        <w:t xml:space="preserve">&lt; 0.05/2,544; all 2,234 estimable genes are plotted and all 13 discovery genes are labelled.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
          <w:bCs/>
        </w:rPr>
        <w:t xml:space="preserve">Figure 2. Association estimates and regional genetic evidence for the three selected genes.</w:t>
      </w:r>
      <w:r>
        <w:t xml:space="preserve"> </w:t>
      </w:r>
      <w:r>
        <w:t xml:space="preserve">(A) Primary ORs and 95% CIs, with corresponding two-sided</w:t>
      </w:r>
      <w:r>
        <w:t xml:space="preserve"> </w:t>
      </w:r>
      <w:r>
        <w:rPr>
          <w:i/>
          <w:iCs/>
        </w:rPr>
        <w:t xml:space="preserve">P</w:t>
      </w:r>
      <w:r>
        <w:t xml:space="preserve"> </w:t>
      </w:r>
      <w:r>
        <w:t xml:space="preserve">values. Bold</w:t>
      </w:r>
      <w:r>
        <w:t xml:space="preserve"> </w:t>
      </w:r>
      <w:r>
        <w:rPr>
          <w:i/>
          <w:iCs/>
        </w:rPr>
        <w:t xml:space="preserve">P</w:t>
      </w:r>
      <w:r>
        <w:t xml:space="preserve"> </w:t>
      </w:r>
      <w:r>
        <w:t xml:space="preserve">values and asterisks (*) indicate nominal</w:t>
      </w:r>
      <w:r>
        <w:t xml:space="preserve"> </w:t>
      </w:r>
      <w:r>
        <w:rPr>
          <w:i/>
          <w:iCs/>
        </w:rPr>
        <w:t xml:space="preserve">P</w:t>
      </w:r>
      <w:r>
        <w:t xml:space="preserve"> </w:t>
      </w:r>
      <w:r>
        <w:t xml:space="preserve">&lt; 0.05; daggers (†) additionally mark BBJ discovery significance at</w:t>
      </w:r>
      <w:r>
        <w:t xml:space="preserve"> </w:t>
      </w:r>
      <w:r>
        <w:rPr>
          <w:i/>
          <w:iCs/>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
          <w:iCs/>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
          <w:bCs/>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
          <w:iCs/>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26"/>
    <w:bookmarkStart w:id="27"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
          <w:iCs/>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
          <w:iCs/>
          <w:sz w:val="20"/>
        </w:rPr>
        <w:t xml:space="preserve">P</w:t>
      </w:r>
      <w:r>
        <w:rPr>
          <w:sz w:val="20"/>
        </w:rPr>
        <w:t xml:space="preserve"> </w:t>
      </w:r>
      <w:r>
        <w:rPr>
          <w:sz w:val="20"/>
        </w:rPr>
        <w:t xml:space="preserve">&lt; 1.965×10⁻⁵, while</w:t>
      </w:r>
      <w:r>
        <w:rPr>
          <w:sz w:val="20"/>
        </w:rPr>
        <w:t xml:space="preserve"> </w:t>
      </w:r>
      <w:r>
        <w:rPr>
          <w:i/>
          <w:iCs/>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
          <w:iCs/>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
          <w:iCs/>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
          <w:bCs/>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7"/>
    <w:bookmarkEnd w:id="28"/>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2026-09-15T04:52:24Z</dcterms:created>
  <dcterms:modified xsi:type="dcterms:W3CDTF">2026-09-15T04:52:24Z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