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28"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rPr>
          <w:b/>
          <w:bCs/>
        </w:rPr>
        <w:t xml:space="preserve">Objective:</w:t>
      </w:r>
      <w:r>
        <w:t xml:space="preserve"> </w:t>
      </w:r>
      <w:r>
        <w:t xml:space="preserve">To compare genetic evidence linking blood expression of</w:t>
      </w:r>
      <w:r>
        <w:t xml:space="preserve"> </w:t>
      </w:r>
      <w:r>
        <w:rPr>
          <w:i/>
          <w:iCs/>
        </w:rPr>
        <w:t xml:space="preserve">TSHR</w:t>
      </w:r>
      <w:r>
        <w:t xml:space="preserve"> </w:t>
      </w:r>
      <w:r>
        <w:t xml:space="preserve">and</w:t>
      </w:r>
      <w:r>
        <w:t xml:space="preserve"> </w:t>
      </w:r>
      <w:r>
        <w:rPr>
          <w:i/>
          <w:iCs/>
        </w:rPr>
        <w:t xml:space="preserve">IGF1R</w:t>
      </w:r>
      <w:r>
        <w:t xml:space="preserve"> </w:t>
      </w:r>
      <w:r>
        <w:t xml:space="preserve">to Graves disease (GD) and thyroid eye disease (TED).</w:t>
      </w:r>
      <w:r>
        <w:t xml:space="preserve"> </w:t>
      </w:r>
      <w:r>
        <w:rPr>
          <w:b/>
          <w:bCs/>
        </w:rPr>
        <w:t xml:space="preserve">Methods:</w:t>
      </w:r>
      <w:r>
        <w:t xml:space="preserve"> </w:t>
      </w:r>
      <w:r>
        <w:t xml:space="preserve">We used genetic variants associated with blood gene expression to study 2,544 druggable genes by Mendelian randomization. Biobank Japan (BBJ) GD was the discovery outcome; UK Biobank (UKB) hyperthyroidism and FinnGen Graves ophthalmopathy provided additional comparisons. We reported odds ratios (ORs), 95% confidence intervals (CIs) and</w:t>
      </w:r>
      <w:r>
        <w:t xml:space="preserve"> </w:t>
      </w:r>
      <w:r>
        <w:rPr>
          <w:i/>
          <w:iCs/>
        </w:rPr>
        <w:t xml:space="preserve">P</w:t>
      </w:r>
      <w:r>
        <w:t xml:space="preserve"> </w:t>
      </w:r>
      <w:r>
        <w:t xml:space="preserve">values, and tested whether expression and disease associations shared a genetic variant.</w:t>
      </w:r>
      <w:r>
        <w:t xml:space="preserve"> </w:t>
      </w:r>
      <w:r>
        <w:rPr>
          <w:b/>
          <w:bCs/>
        </w:rPr>
        <w:t xml:space="preserve">Results:</w:t>
      </w:r>
      <w:r>
        <w:t xml:space="preserve"> </w:t>
      </w:r>
      <w:r>
        <w:t xml:space="preserve">Thirteen genes met the multiple-testing threshold. Per approximately one standard deviation (SD) higher genetically proxied blood</w:t>
      </w:r>
      <w:r>
        <w:t xml:space="preserve"> </w:t>
      </w:r>
      <w:r>
        <w:rPr>
          <w:i/>
          <w:iCs/>
        </w:rPr>
        <w:t xml:space="preserve">TSHR</w:t>
      </w:r>
      <w:r>
        <w:t xml:space="preserve"> </w:t>
      </w:r>
      <w:r>
        <w:t xml:space="preserve">expression, the OR for BBJ GD was 0.12 (95% CI 0.07–0.21;</w:t>
      </w:r>
      <w:r>
        <w:t xml:space="preserve"> </w:t>
      </w:r>
      <w:r>
        <w:rPr>
          <w:i/>
          <w:iCs/>
        </w:rPr>
        <w:t xml:space="preserve">P</w:t>
      </w:r>
      <w:r>
        <w:t xml:space="preserve"> </w:t>
      </w:r>
      <w:r>
        <w:t xml:space="preserve">= 1.09×10⁻¹⁴), with the same direction in UKB and FinnGen. Shared-variant support was strong in BBJ and FinnGen, but not UKB; the BBJ result was sensitive to a more conservative prior.</w:t>
      </w:r>
      <w:r>
        <w:t xml:space="preserve"> </w:t>
      </w:r>
      <w:r>
        <w:rPr>
          <w:i/>
          <w:iCs/>
        </w:rPr>
        <w:t xml:space="preserve">IGF1R</w:t>
      </w:r>
      <w:r>
        <w:t xml:space="preserve"> </w:t>
      </w:r>
      <w:r>
        <w:t xml:space="preserve">associations were nominal in BBJ (OR 1.56, 95% CI 1.07–2.28;</w:t>
      </w:r>
      <w:r>
        <w:t xml:space="preserve"> </w:t>
      </w:r>
      <w:r>
        <w:rPr>
          <w:i/>
          <w:iCs/>
        </w:rPr>
        <w:t xml:space="preserve">P</w:t>
      </w:r>
      <w:r>
        <w:t xml:space="preserve"> </w:t>
      </w:r>
      <w:r>
        <w:t xml:space="preserve">= 0.0212) and UKB (</w:t>
      </w:r>
      <w:r>
        <w:rPr>
          <w:i/>
          <w:iCs/>
        </w:rPr>
        <w:t xml:space="preserve">P</w:t>
      </w:r>
      <w:r>
        <w:t xml:space="preserve"> </w:t>
      </w:r>
      <w:r>
        <w:t xml:space="preserve">= 0.0117), and inconclusive in FinnGen (</w:t>
      </w:r>
      <w:r>
        <w:rPr>
          <w:i/>
          <w:iCs/>
        </w:rPr>
        <w:t xml:space="preserve">P</w:t>
      </w:r>
      <w:r>
        <w:t xml:space="preserve"> </w:t>
      </w:r>
      <w:r>
        <w:t xml:space="preserve">= 0.182); shared-variant support remained below threshold. No additional candidate met the combined BBJ and FinnGen shared-variant criterion. Cohort-frequency sensitivity analyses preserved these findings.</w:t>
      </w:r>
      <w:r>
        <w:t xml:space="preserve"> </w:t>
      </w:r>
      <w:r>
        <w:rPr>
          <w:b/>
          <w:bCs/>
        </w:rPr>
        <w:t xml:space="preserve">Conclusions:</w:t>
      </w:r>
      <w:r>
        <w:t xml:space="preserve"> </w:t>
      </w:r>
      <w:r>
        <w:t xml:space="preserve">Genetic evidence was stronger for</w:t>
      </w:r>
      <w:r>
        <w:t xml:space="preserve"> </w:t>
      </w:r>
      <w:r>
        <w:rPr>
          <w:i/>
          <w:iCs/>
        </w:rPr>
        <w:t xml:space="preserve">TSHR</w:t>
      </w:r>
      <w:r>
        <w:t xml:space="preserve"> </w:t>
      </w:r>
      <w:r>
        <w:t xml:space="preserve">than</w:t>
      </w:r>
      <w:r>
        <w:t xml:space="preserve"> </w:t>
      </w:r>
      <w:r>
        <w:rPr>
          <w:i/>
          <w:iCs/>
        </w:rPr>
        <w:t xml:space="preserve">IGF1R</w:t>
      </w:r>
      <w:r>
        <w:t xml:space="preserve"> </w:t>
      </w:r>
      <w:r>
        <w:t xml:space="preserve">in this analysis. An effector role for IGF-1R remains compatible with these findings, alongside an unresolved inherited contribution. FinnGen comparisons with population controls cannot establish an effect specific to TED within GD.</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
          <w:iCs/>
        </w:rPr>
        <w:t xml:space="preserve">IGF1R</w:t>
      </w:r>
      <w:r>
        <w:t xml:space="preserve"> </w:t>
      </w:r>
      <w:r>
        <w:t xml:space="preserve">expression contribute to disease susceptibility in the same way as variation at</w:t>
      </w:r>
      <w:r>
        <w:t xml:space="preserve"> </w:t>
      </w:r>
      <w:r>
        <w:rPr>
          <w:i/>
          <w:iCs/>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
          <w:iCs/>
        </w:rPr>
        <w:t xml:space="preserve">TSHR</w:t>
      </w:r>
      <w:r>
        <w:t xml:space="preserve"> </w:t>
      </w:r>
      <w:r>
        <w:t xml:space="preserve">and</w:t>
      </w:r>
      <w:r>
        <w:t xml:space="preserve"> </w:t>
      </w:r>
      <w:r>
        <w:rPr>
          <w:i/>
          <w:iCs/>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
          <w:iCs/>
        </w:rPr>
        <w:t xml:space="preserve">TSHR</w:t>
      </w:r>
      <w:r>
        <w:t xml:space="preserve">,</w:t>
      </w:r>
      <w:r>
        <w:t xml:space="preserve"> </w:t>
      </w:r>
      <w:r>
        <w:rPr>
          <w:i/>
          <w:iCs/>
        </w:rPr>
        <w:t xml:space="preserve">IGF1R</w:t>
      </w:r>
      <w:r>
        <w:t xml:space="preserve"> </w:t>
      </w:r>
      <w:r>
        <w:t xml:space="preserve">and the known autoimmune gene</w:t>
      </w:r>
      <w:r>
        <w:t xml:space="preserve"> </w:t>
      </w:r>
      <w:r>
        <w:rPr>
          <w:i/>
          <w:iCs/>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10"/>
    <w:bookmarkStart w:id="14"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on biological and therapeutic grounds and evaluated them across all outcomes, regardless of discovery significance.</w:t>
      </w:r>
    </w:p>
    <w:bookmarkEnd w:id="11"/>
    <w:bookmarkStart w:id="12"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
          <w:iCs/>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
          <w:iCs/>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
          <w:iCs/>
        </w:rPr>
        <w:t xml:space="preserve">P</w:t>
      </w:r>
      <w:r>
        <w:t xml:space="preserve"> </w:t>
      </w:r>
      <w:r>
        <w:t xml:space="preserve">&lt; 1.965×10⁻⁵, correcting for 2,544 eligible genes. This Bonferroni correction is conservative when gene-level tests are correlated. Associations at</w:t>
      </w:r>
      <w:r>
        <w:t xml:space="preserve"> </w:t>
      </w:r>
      <w:r>
        <w:rPr>
          <w:i/>
          <w:iCs/>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
          <w:iCs/>
        </w:rPr>
        <w:t xml:space="preserve">P</w:t>
      </w:r>
      <w:r>
        <w:t xml:space="preserve"> </w:t>
      </w:r>
      <w:r>
        <w:t xml:space="preserve">value nor colocalization proves these assumptions. Single-instrument results, including</w:t>
      </w:r>
      <w:r>
        <w:t xml:space="preserve"> </w:t>
      </w:r>
      <w:r>
        <w:rPr>
          <w:i/>
          <w:iCs/>
        </w:rPr>
        <w:t xml:space="preserve">TSHR</w:t>
      </w:r>
      <w:r>
        <w:t xml:space="preserve">, cannot undergo instrument-based tests of pleiotropy. We did not perform a formal genetic directionality test [23]. The reporting checklist records other analyses that were unavailable or not undertaken.</w:t>
      </w:r>
    </w:p>
    <w:bookmarkEnd w:id="12"/>
    <w:bookmarkStart w:id="13"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
          <w:iCs/>
        </w:rPr>
        <w:t xml:space="preserve">P</w:t>
      </w:r>
      <w:r>
        <w:t xml:space="preserve"> </w:t>
      </w:r>
      <w:r>
        <w:t xml:space="preserve">value. We report it alongside the MR results and tested more conservative assumptions (Table S2)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
          <w:iCs/>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S3–S4).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
          <w:iCs/>
        </w:rPr>
        <w:t xml:space="preserve">P</w:t>
      </w:r>
      <w:r>
        <w:t xml:space="preserve"> </w:t>
      </w:r>
      <w:r>
        <w:t xml:space="preserve">values were calculated for this manuscript. Technical replicates were combined at the biological-sample level.</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1–5. No prospective study registration was available.</w:t>
      </w:r>
    </w:p>
    <w:bookmarkEnd w:id="13"/>
    <w:bookmarkEnd w:id="14"/>
    <w:bookmarkStart w:id="20" w:name="results"/>
    <w:p>
      <w:pPr>
        <w:pStyle w:val="Heading2"/>
        <w:widowControl/>
      </w:pPr>
      <w:r>
        <w:t xml:space="preserve">Results</w:t>
      </w:r>
    </w:p>
    <w:bookmarkStart w:id="15"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
          <w:iCs/>
        </w:rPr>
        <w:t xml:space="preserve">TSHR</w:t>
      </w:r>
      <w:r>
        <w:t xml:space="preserve">,</w:t>
      </w:r>
      <w:r>
        <w:t xml:space="preserve"> </w:t>
      </w:r>
      <w:r>
        <w:rPr>
          <w:i/>
          <w:iCs/>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15"/>
    <w:bookmarkStart w:id="16" w:name="tshr"/>
    <w:p>
      <w:pPr>
        <w:pStyle w:val="Heading3"/>
        <w:widowControl/>
      </w:pPr>
      <w:r>
        <w:t xml:space="preserve">TSHR</w:t>
      </w:r>
    </w:p>
    <w:p>
      <w:pPr>
        <w:pStyle w:val="FirstParagraph"/>
        <w:widowControl/>
      </w:pPr>
      <w:r>
        <w:t xml:space="preserve">Higher genetically proxied blood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Estimates had the same direction in UKB (OR 0.09, 95% CI 0.06–0.14;</w:t>
      </w:r>
      <w:r>
        <w:t xml:space="preserve"> </w:t>
      </w:r>
      <w:r>
        <w:rPr>
          <w:i/>
          <w:iCs/>
        </w:rPr>
        <w:t xml:space="preserve">P</w:t>
      </w:r>
      <w:r>
        <w:t xml:space="preserve"> </w:t>
      </w:r>
      <w:r>
        <w:t xml:space="preserve">= 8.77×10⁻²⁸) and FinnGen (OR 0.10, 95% CI 0.04–0.24;</w:t>
      </w:r>
      <w:r>
        <w:t xml:space="preserve"> </w:t>
      </w:r>
      <w:r>
        <w:rPr>
          <w:i/>
          <w:iCs/>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16"/>
    <w:bookmarkStart w:id="17" w:name="igf1r"/>
    <w:p>
      <w:pPr>
        <w:pStyle w:val="Heading3"/>
        <w:widowControl/>
      </w:pPr>
      <w:r>
        <w:t xml:space="preserve">IGF1R</w:t>
      </w:r>
    </w:p>
    <w:p>
      <w:pPr>
        <w:pStyle w:val="FirstParagraph"/>
        <w:widowControl/>
      </w:pPr>
      <w:r>
        <w:t xml:space="preserve">Higher genetically proxied</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(OR 1.35, 95% CI 1.07–1.70;</w:t>
      </w:r>
      <w:r>
        <w:t xml:space="preserve"> </w:t>
      </w:r>
      <w:r>
        <w:rPr>
          <w:i/>
          <w:iCs/>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
          <w:iCs/>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Taken together, these results provide weaker genetic support for</w:t>
      </w:r>
      <w:r>
        <w:t xml:space="preserve"> </w:t>
      </w:r>
      <w:r>
        <w:rPr>
          <w:i/>
          <w:iCs/>
        </w:rPr>
        <w:t xml:space="preserve">IGF1R</w:t>
      </w:r>
      <w:r>
        <w:t xml:space="preserve"> </w:t>
      </w:r>
      <w:r>
        <w:t xml:space="preserve">than for</w:t>
      </w:r>
      <w:r>
        <w:t xml:space="preserve"> </w:t>
      </w:r>
      <w:r>
        <w:rPr>
          <w:i/>
          <w:iCs/>
        </w:rPr>
        <w:t xml:space="preserve">TSHR</w:t>
      </w:r>
      <w:r>
        <w:t xml:space="preserve"> </w:t>
      </w:r>
      <w:r>
        <w:t xml:space="preserve">in BBJ Graves disease and FinnGen Graves ophthalmopathy; they do not show that</w:t>
      </w:r>
      <w:r>
        <w:t xml:space="preserve"> </w:t>
      </w:r>
      <w:r>
        <w:rPr>
          <w:i/>
          <w:iCs/>
        </w:rPr>
        <w:t xml:space="preserve">IGF1R</w:t>
      </w:r>
      <w:r>
        <w:t xml:space="preserve"> </w:t>
      </w:r>
      <w:r>
        <w:t xml:space="preserve">has no inherited contribution.</w:t>
      </w:r>
    </w:p>
    <w:bookmarkEnd w:id="17"/>
    <w:bookmarkStart w:id="18"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
          <w:iCs/>
        </w:rPr>
        <w:t xml:space="preserve">CTLA4</w:t>
      </w:r>
      <w:r>
        <w:t xml:space="preserve"> </w:t>
      </w:r>
      <w:r>
        <w:t xml:space="preserve">[25] was associated with lower odds of disease in BBJ (OR 0.18, 95% CI 0.11–0.27;</w:t>
      </w:r>
      <w:r>
        <w:t xml:space="preserve"> </w:t>
      </w:r>
      <w:r>
        <w:rPr>
          <w:i/>
          <w:iCs/>
        </w:rPr>
        <w:t xml:space="preserve">P</w:t>
      </w:r>
      <w:r>
        <w:t xml:space="preserve"> </w:t>
      </w:r>
      <w:r>
        <w:t xml:space="preserve">= 5.45×10⁻¹⁵), UKB (OR 0.21, 95% CI 0.08–0.57;</w:t>
      </w:r>
      <w:r>
        <w:t xml:space="preserve"> </w:t>
      </w:r>
      <w:r>
        <w:rPr>
          <w:i/>
          <w:iCs/>
        </w:rPr>
        <w:t xml:space="preserve">P</w:t>
      </w:r>
      <w:r>
        <w:t xml:space="preserve"> </w:t>
      </w:r>
      <w:r>
        <w:t xml:space="preserve">= 0.0022) and FinnGen (OR 0.17, 95% CI 0.04–0.68;</w:t>
      </w:r>
      <w:r>
        <w:t xml:space="preserve"> </w:t>
      </w:r>
      <w:r>
        <w:rPr>
          <w:i/>
          <w:iCs/>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
          <w:iCs/>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support in BBJ only (0.994 and 0.989); the corresponding FinnGen probabilities were 0.017 and 0.020 (Figure 3A).</w:t>
      </w:r>
      <w:r>
        <w:t xml:space="preserve"> </w:t>
      </w:r>
      <w:r>
        <w:rPr>
          <w:i/>
          <w:iCs/>
        </w:rPr>
        <w:t xml:space="preserve">TNFSF14</w:t>
      </w:r>
      <w:r>
        <w:t xml:space="preserve"> </w:t>
      </w:r>
      <w:r>
        <w:t xml:space="preserve">nevertheless retained a direction-consistent UKB MR association (</w:t>
      </w:r>
      <w:r>
        <w:rPr>
          <w:i/>
          <w:iCs/>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
          <w:iCs/>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18"/>
    <w:bookmarkStart w:id="19"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
          <w:iCs/>
        </w:rPr>
        <w:t xml:space="preserve">IGF1R</w:t>
      </w:r>
      <w:r>
        <w:t xml:space="preserve"> </w:t>
      </w:r>
      <w:r>
        <w:t xml:space="preserve">remained nominally associated in BBJ and UKB (</w:t>
      </w:r>
      <w:r>
        <w:rPr>
          <w:i/>
          <w:iCs/>
        </w:rPr>
        <w:t xml:space="preserve">P</w:t>
      </w:r>
      <w:r>
        <w:t xml:space="preserve"> </w:t>
      </w:r>
      <w:r>
        <w:t xml:space="preserve">= 0.022 and 0.016) and non-significant in FinnGen (</w:t>
      </w:r>
      <w:r>
        <w:rPr>
          <w:i/>
          <w:iCs/>
        </w:rPr>
        <w:t xml:space="preserve">P</w:t>
      </w:r>
      <w:r>
        <w:t xml:space="preserve"> </w:t>
      </w:r>
      <w:r>
        <w:t xml:space="preserve">= 0.177; Table S3).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
          <w:iCs/>
        </w:rPr>
        <w:t xml:space="preserve">TSHR</w:t>
      </w:r>
      <w:r>
        <w:t xml:space="preserve"> </w:t>
      </w:r>
      <w:r>
        <w:t xml:space="preserve">support in BBJ fell from 0.951 to 0.661, while FinnGen remained above threshold (Figure 3B; Table S2). This distinguished stability to the frequency substitution from sensitivity to the assumed prior: the former preserved classifications, while the latter changed the interpretation of the BBJ</w:t>
      </w:r>
      <w:r>
        <w:t xml:space="preserve"> </w:t>
      </w:r>
      <w:r>
        <w:rPr>
          <w:i/>
          <w:iCs/>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S4). Gene-specific detection benchmarks are provided in Supplementary Methods. They describe precision and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19"/>
    <w:bookmarkEnd w:id="20"/>
    <w:bookmarkStart w:id="23"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
          <w:iCs/>
        </w:rPr>
        <w:t xml:space="preserve">TSHR</w:t>
      </w:r>
      <w:r>
        <w:t xml:space="preserve"> </w:t>
      </w:r>
      <w:r>
        <w:t xml:space="preserve">expression to GD than linking</w:t>
      </w:r>
      <w:r>
        <w:t xml:space="preserve"> </w:t>
      </w:r>
      <w:r>
        <w:rPr>
          <w:i/>
          <w:iCs/>
        </w:rPr>
        <w:t xml:space="preserve">IGF1R</w:t>
      </w:r>
      <w:r>
        <w:t xml:space="preserve"> </w:t>
      </w:r>
      <w:r>
        <w:t xml:space="preserve">expression to the same outcomes.</w:t>
      </w:r>
      <w:r>
        <w:t xml:space="preserve"> </w:t>
      </w:r>
      <w:r>
        <w:rPr>
          <w:i/>
          <w:iCs/>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
          <w:iCs/>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
          <w:iCs/>
        </w:rPr>
        <w:t xml:space="preserve">TSHR</w:t>
      </w:r>
      <w:r>
        <w:t xml:space="preserve"> </w:t>
      </w:r>
      <w:r>
        <w:t xml:space="preserve">estimate is compatible with a central-tolerance hypothesis. Human thymic studies associated the GD-protective rs179247 allele with greater intrathymic</w:t>
      </w:r>
      <w:r>
        <w:t xml:space="preserve"> </w:t>
      </w:r>
      <w:r>
        <w:rPr>
          <w:i/>
          <w:iCs/>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
          <w:iCs/>
        </w:rPr>
        <w:t xml:space="preserve">TSHR</w:t>
      </w:r>
      <w:r>
        <w:t xml:space="preserve"> </w:t>
      </w:r>
      <w:r>
        <w:t xml:space="preserve">and BBJ</w:t>
      </w:r>
      <w:r>
        <w:t xml:space="preserve"> </w:t>
      </w:r>
      <w:r>
        <w:rPr>
          <w:i/>
          <w:iCs/>
        </w:rPr>
        <w:t xml:space="preserve">CTLA4</w:t>
      </w:r>
      <w:r>
        <w:t xml:space="preserve"> </w:t>
      </w:r>
      <w:r>
        <w:t xml:space="preserve">discordances deserve further regional analysis.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Resolving this issue requires allele-aligned, ancestry-appropriate LD and multi-signal colocalization; the present analyses do not provide that validation.</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
          <w:iCs/>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Prior sensitivity answers a separate question:</w:t>
      </w:r>
      <w:r>
        <w:t xml:space="preserve"> </w:t>
      </w:r>
      <w:r>
        <w:rPr>
          <w:i/>
          <w:iCs/>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21"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
          <w:iCs/>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
          <w:iCs/>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
          <w:iCs/>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21"/>
    <w:bookmarkStart w:id="22" w:name="conclusions"/>
    <w:p>
      <w:pPr>
        <w:pStyle w:val="Heading3"/>
        <w:widowControl/>
      </w:pPr>
      <w:r>
        <w:t xml:space="preserve">Conclusions</w:t>
      </w:r>
    </w:p>
    <w:p>
      <w:pPr>
        <w:pStyle w:val="FirstParagraph"/>
        <w:widowControl/>
      </w:pPr>
      <w:r>
        <w:t xml:space="preserve">Within these limits,</w:t>
      </w:r>
      <w:r>
        <w:t xml:space="preserve"> </w:t>
      </w:r>
      <w:r>
        <w:rPr>
          <w:i/>
          <w:iCs/>
        </w:rPr>
        <w:t xml:space="preserve">TSHR</w:t>
      </w:r>
      <w:r>
        <w:t xml:space="preserve"> </w:t>
      </w:r>
      <w:r>
        <w:t xml:space="preserve">showed stronger expression–disease evidence than</w:t>
      </w:r>
      <w:r>
        <w:t xml:space="preserve"> </w:t>
      </w:r>
      <w:r>
        <w:rPr>
          <w:i/>
          <w:iCs/>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
          <w:iCs/>
        </w:rPr>
        <w:t xml:space="preserve">IGF1R</w:t>
      </w:r>
      <w:r>
        <w:t xml:space="preserve"> </w:t>
      </w:r>
      <w:r>
        <w:t xml:space="preserve">and the prior dependence of the BBJ</w:t>
      </w:r>
      <w:r>
        <w:t xml:space="preserve"> </w:t>
      </w:r>
      <w:r>
        <w:rPr>
          <w:i/>
          <w:iCs/>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22"/>
    <w:bookmarkEnd w:id="23"/>
    <w:bookmarkStart w:id="24"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Instruments, primary MR and colocalization results, and frequency-sensitivity results are supplied as Supplementary Data 1–5.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4"/>
    <w:bookmarkStart w:id="25"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25"/>
    <w:bookmarkStart w:id="26" w:name="figure-legends"/>
    <w:p>
      <w:pPr>
        <w:pStyle w:val="Heading2"/>
        <w:pageBreakBefore/>
        <w:widowControl/>
      </w:pPr>
      <w:r>
        <w:t xml:space="preserve">Figure Legends</w:t>
      </w:r>
    </w:p>
    <w:p>
      <w:pPr>
        <w:pStyle w:val="FirstParagraph"/>
        <w:widowControl/>
      </w:pPr>
      <w:r>
        <w:rPr>
          <w:b/>
          <w:bCs/>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
          <w:iCs/>
        </w:rPr>
        <w:t xml:space="preserve">P</w:t>
      </w:r>
      <w:r>
        <w:t xml:space="preserve"> </w:t>
      </w:r>
      <w:r>
        <w:t xml:space="preserve">&lt; 0.05/2,544; all 2,234 estimable genes are plotted and all 13 discovery genes are labelled.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
          <w:bCs/>
        </w:rPr>
        <w:t xml:space="preserve">Figure 2. Association estimates and regional genetic evidence for the three selected genes.</w:t>
      </w:r>
      <w:r>
        <w:t xml:space="preserve"> </w:t>
      </w:r>
      <w:r>
        <w:t xml:space="preserve">(A) Primary ORs and 95% CIs, with corresponding two-sided</w:t>
      </w:r>
      <w:r>
        <w:t xml:space="preserve"> </w:t>
      </w:r>
      <w:r>
        <w:rPr>
          <w:i/>
          <w:iCs/>
        </w:rPr>
        <w:t xml:space="preserve">P</w:t>
      </w:r>
      <w:r>
        <w:t xml:space="preserve"> </w:t>
      </w:r>
      <w:r>
        <w:t xml:space="preserve">values. Bold</w:t>
      </w:r>
      <w:r>
        <w:t xml:space="preserve"> </w:t>
      </w:r>
      <w:r>
        <w:rPr>
          <w:i/>
          <w:iCs/>
        </w:rPr>
        <w:t xml:space="preserve">P</w:t>
      </w:r>
      <w:r>
        <w:t xml:space="preserve"> </w:t>
      </w:r>
      <w:r>
        <w:t xml:space="preserve">values and asterisks (*) indicate nominal</w:t>
      </w:r>
      <w:r>
        <w:t xml:space="preserve"> </w:t>
      </w:r>
      <w:r>
        <w:rPr>
          <w:i/>
          <w:iCs/>
        </w:rPr>
        <w:t xml:space="preserve">P</w:t>
      </w:r>
      <w:r>
        <w:t xml:space="preserve"> </w:t>
      </w:r>
      <w:r>
        <w:t xml:space="preserve">&lt; 0.05; daggers (†) additionally mark BBJ discovery significance at</w:t>
      </w:r>
      <w:r>
        <w:t xml:space="preserve"> </w:t>
      </w:r>
      <w:r>
        <w:rPr>
          <w:i/>
          <w:iCs/>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
          <w:iCs/>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
          <w:bCs/>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
          <w:iCs/>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S3–S4 report the separate cohort-frequency sensitivity. Full H0–H4 probabilities and all 81 gene–outcome–prior settings are in Supplementary Data 3.</w:t>
      </w:r>
    </w:p>
    <w:bookmarkEnd w:id="26"/>
    <w:bookmarkStart w:id="27" w:name="tables"/>
    <w:p>
      <w:pPr>
        <w:sectPr>
          <w:footerReference w:type="default" r:id="rId9"/>
          <w:footerReference w:type="first" r:id="rId10"/>
          <w:footerReference w:type="even" r:id="rId11"/>
          <w:footnotePr>
            <w:numRestart w:val="eachSect"/>
          </w:footnotePr>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
          <w:bCs/>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
          <w:bCs/>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rFonts w:ascii="Times New Roman" w:hAnsi="Times New Roman"/>
                <w:i/>
                <w:iCs/>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
          <w:iCs/>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
          <w:iCs/>
          <w:sz w:val="20"/>
        </w:rPr>
        <w:t xml:space="preserve">P</w:t>
      </w:r>
      <w:r>
        <w:rPr>
          <w:sz w:val="20"/>
        </w:rPr>
        <w:t xml:space="preserve"> </w:t>
      </w:r>
      <w:r>
        <w:rPr>
          <w:sz w:val="20"/>
        </w:rPr>
        <w:t xml:space="preserve">&lt; 1.965×10⁻⁵, while</w:t>
      </w:r>
      <w:r>
        <w:rPr>
          <w:sz w:val="20"/>
        </w:rPr>
        <w:t xml:space="preserve"> </w:t>
      </w:r>
      <w:r>
        <w:rPr>
          <w:i/>
          <w:iCs/>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
          <w:iCs/>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Full probabilities are in Supplementary Data 3; sensitivity results are in Tables S1–S3.</w:t>
      </w:r>
    </w:p>
    <w:p>
      <w:pPr>
        <w:pStyle w:val="BodyText"/>
        <w:keepNext/>
        <w:pageBreakBefore/>
        <w:widowControl/>
        <w:spacing w:line="264" w:lineRule="auto" w:after="140"/>
      </w:pPr>
      <w:r>
        <w:rPr>
          <w:b/>
          <w:bCs/>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27"/>
    <w:bookmarkEnd w:id="28"/>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2026-09-13T22:57:37Z</dcterms:created>
  <dcterms:modified xsi:type="dcterms:W3CDTF">2026-09-13T22:57:37Z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