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/>
          <w:bCs/>
          <w:sz w:val="20"/>
        </w:rPr>
        <w:t xml:space="preserve">Table 2. Primary associations for the three selected genes</w:t>
      </w:r>
    </w:p>
    <w:tbl>
      <w:tblPr>
        <w:tblW w:type="dxa" w:w="9173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1584"/>
        <w:gridCol w:w="1296"/>
        <w:gridCol w:w="1584"/>
        <w:gridCol w:w="1080"/>
        <w:gridCol w:w="1080"/>
        <w:gridCol w:w="965"/>
        <w:gridCol w:w="893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Gene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 xml:space="preserve">Outcome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Instruments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OR (95% CI)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i/>
                <w:iCs/>
                <w:sz w:val="19"/>
              </w:rPr>
              <w:t xml:space="preserve">P</w:t>
            </w:r>
            <w:r>
              <w:rPr>
                <w:rFonts w:ascii="Times New Roman" w:hAnsi="Times New Roman"/>
                <w:b/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 xml:space="preserve">value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Expression only (PP.H2)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Distinct variants (PP.H3)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Shared variant (PP.H4)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0.12 (0.07–0.21)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1.09×10⁻¹⁴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0.049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0.951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0.09 (0.06–0.14)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8.77×10⁻²⁸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0.774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0.226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TSHR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0.10 (0.04–0.24)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2.82×10⁻⁷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0.014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0.986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1.56 (1.07–2.28)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0.0212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0.690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0.236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1.35 (1.07–1.70)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0.0117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0.400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0.196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0.404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IGF1R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1.41 (0.85–2.33)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 xml:space="preserve">0.182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0.623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0.346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BBJ Graves disease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0.18 (0.11–0.27)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5.45×10⁻¹⁵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0.799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0.201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UKB hyperthyroidism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0.21 (0.08–0.57)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0.0022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0.047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0.953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i/>
                <w:iCs/>
                <w:sz w:val="19"/>
              </w:rPr>
              <w:t xml:space="preserve">CTLA4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FinnGen Graves ophthalmopathy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0.17 (0.04–0.68)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 xml:space="preserve">0.0118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&lt;0.001</w:t>
            </w:r>
          </w:p>
        </w:tc>
        <w:tc>
          <w:tcPr>
            <w:tcW w:type="dxa" w:w="96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0.022</w:t>
            </w:r>
          </w:p>
        </w:tc>
        <w:tc>
          <w:tcPr>
            <w:tcW w:type="dxa" w:w="89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0.978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ORs are per approximately one SD higher reconstructed, genetically proxied blood expression. Wald ratio was used for one instrument and IVW for multiple instruments.</w:t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values are two-sided and shown to three significant digits; BBJ discovery significance requires</w:t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&lt; 1.965×10⁻⁵, while</w:t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&lt; 0.05 in other outcomes is nominal. H2, H3 and H4 denote expression only, distinct variants and a shared variant under the single-causal-variant model; these posterior probabilities are not</w:t>
      </w:r>
      <w:r>
        <w:rPr>
          <w:sz w:val="20"/>
        </w:rPr>
        <w:t xml:space="preserve"> </w:t>
      </w:r>
      <w:r>
        <w:rPr>
          <w:i/>
          <w:iCs/>
          <w:sz w:val="20"/>
        </w:rPr>
        <w:t xml:space="preserve">P</w:t>
      </w:r>
      <w:r>
        <w:rPr>
          <w:sz w:val="20"/>
        </w:rPr>
        <w:t xml:space="preserve"> </w:t>
      </w:r>
      <w:r>
        <w:rPr>
          <w:sz w:val="20"/>
        </w:rPr>
        <w:t xml:space="preserve">values. H0/H1 account for any remaining probability. H4 ≥ 0.80 denotes strong shared-variant support. H2 dominance does not prove absence of marginal disease association. For rs179252, the G-allele exposure coefficient was 0.10546; aligned disease log-ORs were −0.22103 (BBJ), −0.25691 (UKB, after scale conversion) and −0.24587 (FinnGen), corresponding to variant-level ORs of 0.802, 0.773 and 0.782. These variant effects and the scaled MR ORs answer different questions. Full probabilities are in Supplementary Data 3; sensitivity results are in Tables S1–S3.</w:t>
      </w:r>
    </w:p>
    <w:sectPr>
      <w:footnotePr>
        <w:numRestart w:val="eachSect"/>
      </w:footnotePr>
      <w:pgSz w:w="11909" w:h="16834"/>
      <w:pgMar w:left="1368" w:right="1368" w:top="1152" w:bottom="1152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480" w:lineRule="auto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80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76" w:lineRule="auto" w:before="240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3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2"/>
    </w:pPr>
    <w:rPr>
      <w:rFonts w:cstheme="majorBidi" w:eastAsiaTheme="majorEastAsia" w:ascii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outlineLvl w:val="3"/>
    </w:pPr>
    <w:rPr>
      <w:rFonts w:cstheme="majorBidi" w:eastAsiaTheme="majorEastAsia" w:ascii="Times New Roman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80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</dc:title>
  <dc:creator>Jungyul Park; Min-Seon Kim; Kyung-Hwa Shin; Suk-Woo Yang</dc:creator>
  <cp:keywords/>
  <dcterms:created xsi:type="dcterms:W3CDTF">2026-09-13T22:57:37Z</dcterms:created>
  <dcterms:modified xsi:type="dcterms:W3CDTF">2026-09-13T22:57:37Z</dcterms:modified>
  <dc:identifier>Table2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