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BBJ cases merged physician diagnoses with curated medical histories and text-mined records; controls lacked GD or related diagnoses; covariates were age, age</w:t>
      </w:r>
      <w:r>
        <w:rPr>
          <w:color w:val="000000"/>
          <w:vertAlign w:val="superscript"/>
        </w:rPr>
        <w:t xml:space="preserve">2</w:t>
      </w:r>
      <w:r>
        <w:rPr>
          <w:color w:val="000000"/>
        </w:rPr>
        <w:t xml:space="preserve">, sex, their interactions and 20 principal components.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FinnGen GD screen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Of 4,479 druggable-genome genes, 4,462 mapped to GRCh37. 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 = 1/√[2f(1−f)(N + Z²)] and β = Z × SE, where f is the assessed-allele frequency and N is the variant-specific expression sample size (median 28,092; range 232–31,684).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 With three or four</w:t>
      </w:r>
      <w:r>
        <w:rPr>
          <w:color w:val="000000"/>
        </w:rPr>
        <w:t xml:space="preserve"> </w:t>
      </w:r>
      <w:r>
        <w:rPr>
          <w:iCs/>
          <w:i/>
          <w:color w:val="000000"/>
        </w:rPr>
        <w:t xml:space="preserve">IGF1R</w:t>
      </w:r>
      <w:r>
        <w:rPr>
          <w:color w:val="000000"/>
        </w:rPr>
        <w:t xml:space="preserve"> </w:t>
      </w:r>
      <w:r>
        <w:rPr>
          <w:color w:val="000000"/>
        </w:rPr>
        <w:t xml:space="preserve">instruments, these estimators had little power. No Steiger directionality test was performed.</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Independent calculations reproduced the eight full-set and 72 omission estimates for</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GCTA 1.95.1 COJO stepwise selection (BBJ; East Asian reference) retained one signal, rs8050588; conditional on it, the three variants had</w:t>
      </w:r>
      <w:r>
        <w:rPr>
          <w:color w:val="000000"/>
        </w:rPr>
        <w:t xml:space="preserve"> </w:t>
      </w:r>
      <w:r>
        <w:rPr>
          <w:iCs/>
          <w:i/>
          <w:color w:val="000000"/>
        </w:rPr>
        <w:t xml:space="preserve">P</w:t>
      </w:r>
      <w:r>
        <w:rPr>
          <w:color w:val="000000"/>
        </w:rPr>
        <w:t xml:space="preserve"> </w:t>
      </w:r>
      <w:r>
        <w:rPr>
          <w:color w:val="000000"/>
        </w:rPr>
        <w:t xml:space="preserve">= 0.81–0.93, supporting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with the default prior effect SDs of 0.2 and 0.15, respectively.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no PP.H4 changed side of 0.80 across scenarios.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and shared instruments;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colocalization power.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trimmed (Trimmomatic 0.38), aligned to GRCh38 (HISAT2 2.1.0) and quantified as TPM (StringTie 2.1.3b).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Readme and Column_dictionary sheets describe every sheet; reproduction validates implementation, not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Suk-Woo Yang</dc:creator>
  <cp:keywords/>
  <dcterms:created xsi:type="dcterms:W3CDTF">2026-10-22T23:13:59Z</dcterms:created>
  <dcterms:modified xsi:type="dcterms:W3CDTF">2026-10-22T23:13:59Z</dcterms:modified>
  <cp:lastModifiedBy/>
  <dc:description/>
</cp:coreProperties>
</file>

<file path=docProps/custom.xml><?xml version="1.0" encoding="utf-8"?>
<Properties xmlns="http://schemas.openxmlformats.org/officeDocument/2006/custom-properties" xmlns:vt="http://schemas.openxmlformats.org/officeDocument/2006/docPropsVTypes"/>
</file>