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testing for shared expression–disease variants. Outcomes were Biobank Japan (BBJ) GD, UK Biobank (UKB) hyperthyroidism and FinnGen Graves ophthalmopathy. In-house orbital tissue RNA sequencing (four TED patients, one control) was summarized by transcript levels and fold changes without significance testing.</w:t>
      </w:r>
      <w:r>
        <w:t xml:space="preserve"> </w:t>
      </w:r>
      <w:r>
        <w:rPr>
          <w:bCs/>
          <w:b/>
        </w:rPr>
        <w:t xml:space="preserve">Results:</w:t>
      </w:r>
      <w:r>
        <w:t xml:space="preserve"> </w:t>
      </w:r>
      <w:r>
        <w:t xml:space="preserve">Higher genetically proxied</w:t>
      </w:r>
      <w:r>
        <w:t xml:space="preserve"> </w:t>
      </w:r>
      <w:r>
        <w:rPr>
          <w:iCs/>
          <w:i/>
        </w:rPr>
        <w:t xml:space="preserve">TSHR</w:t>
      </w:r>
      <w:r>
        <w:t xml:space="preserve"> </w:t>
      </w:r>
      <w:r>
        <w:t xml:space="preserve">expression was associated with lower GD odds;</w:t>
      </w:r>
      <w:r>
        <w:t xml:space="preserve"> </w:t>
      </w:r>
      <w:r>
        <w:rPr>
          <w:iCs/>
          <w:i/>
        </w:rPr>
        <w:t xml:space="preserve">IGF1R</w:t>
      </w:r>
      <w:r>
        <w:t xml:space="preserve"> </w:t>
      </w:r>
      <w:r>
        <w:t xml:space="preserve">findings were less conclusive. Thirteen genes met the multiple-testing threshold. Per approximately one standard deviation higher blood</w:t>
      </w:r>
      <w:r>
        <w:t xml:space="preserve"> </w:t>
      </w:r>
      <w:r>
        <w:rPr>
          <w:iCs/>
          <w:i/>
        </w:rPr>
        <w:t xml:space="preserve">TSHR</w:t>
      </w:r>
      <w:r>
        <w:t xml:space="preserve"> </w:t>
      </w:r>
      <w:r>
        <w:t xml:space="preserve">expression, the BBJ odds ratio (OR) was 0.12 (95% confidence interval [CI] 0.07–0.21;</w:t>
      </w:r>
      <w:r>
        <w:t xml:space="preserve"> </w:t>
      </w:r>
      <w:r>
        <w:rPr>
          <w:iCs/>
          <w:i/>
        </w:rPr>
        <w:t xml:space="preserve">P</w:t>
      </w:r>
      <w:r>
        <w:t xml:space="preserve"> </w:t>
      </w:r>
      <w:r>
        <w:t xml:space="preserve">= 1.09×10⁻¹⁴), with matching directions in UKB and FinnGen. Shared-variant support was strong in BBJ and FinnGen, but not UKB; BBJ support fell below threshold when shared variants were assumed less likely.</w:t>
      </w:r>
      <w:r>
        <w:t xml:space="preserve"> </w:t>
      </w:r>
      <w:r>
        <w:rPr>
          <w:iCs/>
          <w:i/>
        </w:rPr>
        <w:t xml:space="preserve">IGF1R</w:t>
      </w:r>
      <w:r>
        <w:t xml:space="preserve"> </w:t>
      </w:r>
      <w:r>
        <w:t xml:space="preserve">did not meet the discovery threshold or show strong shared-variant support.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had strong shared-variant support in BBJ and FinnGen. Using cohort allele frequencies preserved these findings.</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This neither establishes a TED-specific effect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Here, the exposure was blood gene expression. We also used colocalization, an analysis that asks whether the expression and disease associations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expression–disease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We screened genes considered potentially druggable — that is, genes encoding proteins, such as receptors or enzymes, that are plausible targets for an existing or future drug — and compared</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represent genetically proxied effects per approximately one standard deviation higher blood gene expression on the standardized scale assumed by the reconstruction. This scale assumes an expression variance of one; it does not standardize the genetic predictor itself.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S2–S3).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seven were associated with lower odds and six with higher odds of disease (Table 3; Figure 1). The 310 genes without estimable BBJ results were not classified as negative findings. The genomic distribution shows both the MHC cluster and signals outside that region; each plotted point represents a gene-level MR result, not a single-SNP GWAS association. The discovery genes included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The three biologically selected genes are compared in Table 2 and Figure 2, which aligns effect estimates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highest-probability variant conditional on the shared-variant model was rs179252 in both. UKB did not show the same support (0.226), despite a strong MR association. Under the single-causal-variant model, the UKB posterior favoured distinct variants (PP.H3 = 0.774); this does not establish the number of independent regional signals. Thus, a highly significant MR result alone did not establish a shared genetic signal in every outcome. The contrast is visible in Figure 2: the MR estimates all favoured lower odds, whereas the UKB posterior favoured distinct expression and disease variants. This discordance was not resolved by substituting cohort allele frequencies.</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Each outcome also lost nominal significance under one other omission (Figure S2; Supplementary Data 6). rs2654980 ranked first conditional on the shared-variant model, but the MR and colocalization analyses reuse the same underlying association data.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Cs/>
          <w:i/>
        </w:rPr>
        <w:t xml:space="preserve">CTLA4</w:t>
      </w:r>
      <w:r>
        <w:t xml:space="preserve"> </w:t>
      </w:r>
      <w:r>
        <w:t xml:space="preserve">itself failed the combined BBJ-plus-FinnGen colocalization criterion.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Cs/>
          <w:i/>
        </w:rPr>
        <w:t xml:space="preserve">TSHR</w:t>
      </w:r>
      <w:r>
        <w:t xml:space="preserve"> </w:t>
      </w:r>
      <w:r>
        <w:t xml:space="preserve">support in BBJ fell from 0.951 to 0.661, while FinnGen remained above threshold (Figure 3B; Supplementary Data 3). This distinguished stability to the frequency substitution from sensitivity to the assumed prior: the former preserved classifications, while the latter changed the interpretation of the BBJ</w:t>
      </w:r>
      <w:r>
        <w:t xml:space="preserve"> </w:t>
      </w:r>
      <w:r>
        <w:rPr>
          <w:iCs/>
          <w:i/>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precision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w:t>
      </w:r>
      <w:r>
        <w:t xml:space="preserve"> </w:t>
      </w:r>
      <w:r>
        <w:rPr>
          <w:iCs/>
          <w:i/>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Cs/>
          <w:i/>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Cs/>
          <w:i/>
        </w:rPr>
        <w:t xml:space="preserve">IGF1R</w:t>
      </w:r>
      <w:r>
        <w:t xml:space="preserve"> </w:t>
      </w:r>
      <w:r>
        <w:t xml:space="preserve">and the prior dependence of the BBJ</w:t>
      </w:r>
      <w:r>
        <w:t xml:space="preserve"> </w:t>
      </w:r>
      <w:r>
        <w:rPr>
          <w:iCs/>
          <w:i/>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2026-09-15T05:06:04Z</dcterms:created>
  <dcterms:modified xsi:type="dcterms:W3CDTF">2026-09-15T05:06:04Z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