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投资组合优化报告</w:t>
      </w:r>
    </w:p>
    <w:p>
      <w:r>
        <w:t>2026年投资学课程项目</w:t>
      </w:r>
    </w:p>
    <w:p>
      <w:pPr>
        <w:pStyle w:val="Heading1"/>
      </w:pPr>
      <w:r>
        <w:t>1. 数据说明与假设</w:t>
      </w:r>
    </w:p>
    <w:p>
      <w:pPr>
        <w:pStyle w:val="Heading2"/>
      </w:pPr>
      <w:r>
        <w:t>1.1 数据说明</w:t>
      </w:r>
    </w:p>
    <w:p>
      <w:r>
        <w:t>本研究选取了2015年1月5日至2025年12月31日共2,674个交易日的10个申万一级行业指数。10个行业分别为：农林牧渔 (801010)、有色金属 (801050)、电子 (801080)、家用电器 (801110)、食品饮料 (801120)、医药生物 (801150)、公用事业 (801160)、房地产 (801180)、银行 (801780) 和 机械设备 (801890)。</w:t>
      </w:r>
    </w:p>
    <w:p>
      <w:r>
        <w:t>日收盘指数和日收益率（百分比形式）数据来源于国泰安 (CSMAR) 数据库。无风险利率采用隔夜SHIBOR（上海银行间同业拆放利率），数据来源于锐思 (RESSET) 数据库。</w:t>
      </w:r>
    </w:p>
    <w:p>
      <w:pPr>
        <w:pStyle w:val="Heading2"/>
      </w:pPr>
      <w:r>
        <w:t>1.2 无风险利率转换</w:t>
      </w:r>
    </w:p>
    <w:p>
      <w:r>
        <w:t>SHIBOR隔夜利率以年化百分比利率形式报价，采用 Actual/360 计息惯例（中国银行间市场标准）。日度利率转换公式为：</w:t>
      </w:r>
    </w:p>
    <w:p>
      <w:pPr>
        <w:pStyle w:val="NoSpacing"/>
      </w:pPr>
      <w:r>
        <w:t xml:space="preserve">    r_daily = r_annual(%) / (360 x 100)</w:t>
      </w:r>
    </w:p>
    <w:p>
      <w:r>
        <w:t>样本期内隔夜SHIBOR的平均值为年化 1.9231%，对应日均无风险利率为 0.005342%（即小数形式 0.00005342）。</w:t>
      </w:r>
    </w:p>
    <w:p>
      <w:pPr>
        <w:pStyle w:val="Heading2"/>
      </w:pPr>
      <w:r>
        <w:t>1.3 假设</w:t>
      </w:r>
    </w:p>
    <w:p>
      <w:r>
        <w:t>(1) 投资者为均值-方差优化者，遵循 Markowitz 框架。(2) 允许卖空：组合权重不受约束，可以为负。(3) 风险厌恶系数 A = 3，效用函数为 U = E(r) - (1/2) x A x sigma^2。(4) 收益率在样本期内独立同分布 (i.i.d.)。(5) 单期投资模型，不考虑交易成本和税收。(6) 所有资产完全可分且流动性充足。(7) 投资者可以按无风险利率（SHIBOR隔夜）自由借贷。</w:t>
      </w:r>
    </w:p>
    <w:p>
      <w:pPr>
        <w:pStyle w:val="Heading3"/>
      </w:pPr>
      <w:r>
        <w:t>Table 1: 描述性统计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行业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日均收益率(%)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日标准差(%)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年化收益率(%)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年化标准差(%)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 (801010)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1.7695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5.7695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28.0892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 (801050)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0.0534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2.1171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13.4506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33.6084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 (801080)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0.0517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2.1177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13.0238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33.6167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 (801110)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0.0427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1.8170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10.7608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28.8440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 (801120)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0.0652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1.8503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16.4369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29.3727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 (801150)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0.0173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1.7182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4.3692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27.2762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 (801160)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0.0034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1.5446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0.8664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24.5204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 (801180)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-0.0208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1.8612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-5.2410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29.5452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 (801780)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0.0157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1.3855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3.9492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21.9943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 (801890)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1.7917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5.7547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28.4421</w:t>
            </w:r>
          </w:p>
        </w:tc>
      </w:tr>
    </w:tbl>
    <w:p>
      <w:pPr>
        <w:pStyle w:val="Heading3"/>
      </w:pPr>
      <w:r>
        <w:t>Table 2: 行业指数收益率相关系数矩阵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农林牧渔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有色金属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电子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家用电器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食品饮料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医药生物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公用事业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房地产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银行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机械设备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0.6141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0.5707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0.6744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0.6052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0.3334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0.7048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0.6293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0.5422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0.6083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0.5342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0.3930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0.7931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0.6141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0.7429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0.5573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0.3015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0.8709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0.5707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0.6293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0.7396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0.6901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0.5821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0.5361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0.7235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0.5422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0.7396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0.6845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0.4489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0.4607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0.4933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0.5898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0.7429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0.6901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0.6845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0.5662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0.3492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0.7795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0.6744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0.6083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0.4489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0.4451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0.7116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0.6052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0.5342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0.5573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0.5821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0.4607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0.5662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0.5269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0.6655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0.3334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0.3930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0.3015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0.5361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0.4933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0.3492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0.4451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0.5269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0.3927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0.7048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0.7931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0.8709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0.7235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0.5898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0.7795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0.7116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0.3927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</w:tr>
    </w:tbl>
    <w:p>
      <w:pPr>
        <w:pStyle w:val="Heading1"/>
      </w:pPr>
      <w:r>
        <w:t>2. Markowitz 第一步：纯风险资产有效前沿</w:t>
      </w:r>
    </w:p>
    <w:p>
      <w:r>
        <w:t>第一步仅考虑10个风险行业指数（不含无风险资产），计算全局最小方差组合 (GMV) 和最小方差前沿。</w:t>
      </w:r>
    </w:p>
    <w:p>
      <w:r>
        <w:t>设 mu 为 (10x1) 的日均收益率向量，Sigma 为 (10x10) 的协方差矩阵。利用两基金分离定理解析求解最小方差前沿。定义：</w:t>
      </w:r>
    </w:p>
    <w:p>
      <w:pPr>
        <w:pStyle w:val="NoSpacing"/>
      </w:pPr>
      <w:r>
        <w:t xml:space="preserve">    A = 1' * Sigma^(-1) * mu</w:t>
        <w:br/>
        <w:t xml:space="preserve">    B = mu' * Sigma^(-1) * mu</w:t>
        <w:br/>
        <w:t xml:space="preserve">    C = 1' * Sigma^(-1) * 1</w:t>
        <w:br/>
        <w:t xml:space="preserve">    D = B*C - A^2</w:t>
      </w:r>
    </w:p>
    <w:p>
      <w:r>
        <w:t>GMV 组合权重为：w_gmv = Sigma^(-1) * 1 / C</w:t>
      </w:r>
    </w:p>
    <w:p>
      <w:r>
        <w:t>GMV 组合：年化期望收益率 = 3.5103%, 年化标准差 = 18.7994%。</w:t>
      </w:r>
    </w:p>
    <w:p>
      <w:r>
        <w:t>对于任意目标收益率 E，最小方差为：sigma^2 = (C*E^2 - 2*A*E + B) / D。该双曲线 GMV 以上的部分即为有效前沿。</w:t>
      </w:r>
    </w:p>
    <w:p>
      <w:pPr>
        <w:pStyle w:val="Heading3"/>
      </w:pPr>
      <w:r>
        <w:t>核心代码：第一步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1: Efficient Frontier (risky assets only)</w:t>
        <w:br/>
        <w:t>mu = returns.mean().values          # (10,) daily mean returns</w:t>
        <w:br/>
        <w:t>Sigma = returns.cov().values         # (10,10) covariance matrix</w:t>
        <w:br/>
        <w:t>Sigma_inv = np.linalg.inv(Sigma)</w:t>
        <w:br/>
        <w:t>ones = np.ones(10)</w:t>
        <w:br/>
        <w:t>A = ones @ Sigma_inv @ mu</w:t>
        <w:br/>
        <w:t>B = mu @ Sigma_inv @ mu</w:t>
        <w:br/>
        <w:t>C = ones @ Sigma_inv @ ones</w:t>
        <w:br/>
        <w:t>D = B * C - A**2</w:t>
        <w:br/>
        <w:t>w_gmv = Sigma_inv @ ones / C        # GMV portfolio weights</w:t>
        <w:br/>
        <w:t># Frontier: sigma^2 = (C*E^2 - 2*A*E + B) / D</w:t>
      </w:r>
    </w:p>
    <w:p>
      <w:pPr>
        <w:pStyle w:val="Heading1"/>
      </w:pPr>
      <w:r>
        <w:t>3. Markowitz 第二步：切线组合与资本市场线 (CML)</w:t>
      </w:r>
    </w:p>
    <w:p>
      <w:r>
        <w:t>第二步引入无风险资产（SHIBOR隔夜利率），寻找有效前沿上夏普比率最大化的切线组合（即最优风险组合）。</w:t>
      </w:r>
    </w:p>
    <w:p>
      <w:r>
        <w:t>在允许卖空条件下，解析解为：</w:t>
      </w:r>
    </w:p>
    <w:p>
      <w:pPr>
        <w:pStyle w:val="NoSpacing"/>
      </w:pPr>
      <w:r>
        <w:t xml:space="preserve">    w* = Sigma^(-1) * (mu - r_f * 1) / [1' * Sigma^(-1) * (mu - r_f * 1)]</w:t>
      </w:r>
    </w:p>
    <w:p>
      <w:pPr>
        <w:pStyle w:val="Heading3"/>
      </w:pPr>
      <w:r>
        <w:t>Table 3: 切线组合权重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行业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权重(%)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92.6788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213.3934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404.6602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61.2533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397.9541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-342.3841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-47.0029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-361.0476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36.5371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-356.0423</w:t>
            </w:r>
          </w:p>
        </w:tc>
      </w:tr>
    </w:tbl>
    <w:p>
      <w:r>
        <w:t>切线组合（年化）：期望收益率 = 143.2642%, 标准差 = 152.2363%, 夏普比率 = 0.9322。</w:t>
      </w:r>
    </w:p>
    <w:p>
      <w:r>
        <w:t>资本市场线 (CML) 过无风险利率点 (0, r_f) 和切线组合点 (sigma_p, E(r_p))：</w:t>
      </w:r>
    </w:p>
    <w:p>
      <w:pPr>
        <w:pStyle w:val="NoSpacing"/>
      </w:pPr>
      <w:r>
        <w:t xml:space="preserve">    E(r_c) = r_f + [(E(r_p) - r_f) / sigma_p] * sigma_c</w:t>
      </w:r>
    </w:p>
    <w:p>
      <w:r>
        <w:t>CML 的斜率（报酬-波动比率）即为年化夏普比率：0.9322。</w:t>
      </w:r>
    </w:p>
    <w:p>
      <w:pPr>
        <w:pStyle w:val="Heading3"/>
      </w:pPr>
      <w:r>
        <w:t>核心代码：第二步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2: Tangency Portfolio &amp; CML</w:t>
        <w:br/>
        <w:t>rf = shibor_daily.mean()             # average daily risk-free rate</w:t>
        <w:br/>
        <w:t>excess_mu = mu - rf * np.ones(10)</w:t>
        <w:br/>
        <w:t>w_tang = Sigma_inv @ excess_mu / (ones @ Sigma_inv @ excess_mu)</w:t>
        <w:br/>
        <w:t>mu_tang = w_tang @ mu</w:t>
        <w:br/>
        <w:t>sigma_tang = np.sqrt(w_tang @ Sigma @ w_tang)</w:t>
        <w:br/>
        <w:t>sharpe = (mu_tang - rf) / sigma_tang  # daily Sharpe ratio</w:t>
        <w:br/>
        <w:t># CML: E(r_c) = rf + sharpe * sigma_c</w:t>
      </w:r>
    </w:p>
    <w:p>
      <w:pPr>
        <w:pStyle w:val="Heading1"/>
      </w:pPr>
      <w:r>
        <w:t>4. Markowitz 第三步：完整组合（效用最大化）</w:t>
      </w:r>
    </w:p>
    <w:p>
      <w:r>
        <w:t>第三步利用投资者的效用函数，确定在切线组合与无风险资产之间的最优配置比例。</w:t>
      </w:r>
    </w:p>
    <w:p>
      <w:r>
        <w:t>投资者最大化效用函数：U = E(r_c) - (1/2) * A * sigma_c^2</w:t>
      </w:r>
    </w:p>
    <w:p>
      <w:r>
        <w:t>代入 E(r_c) = r_f + y*(E(r_p) - r_f) 和 sigma_c = y*sigma_p：</w:t>
      </w:r>
    </w:p>
    <w:p>
      <w:pPr>
        <w:pStyle w:val="NoSpacing"/>
      </w:pPr>
      <w:r>
        <w:t xml:space="preserve">    U = r_f + y*(E(r_p) - r_f) - (1/2)*A*y^2*sigma_p^2</w:t>
      </w:r>
    </w:p>
    <w:p>
      <w:r>
        <w:t>一阶条件 (FOC)：dU/dy = 0</w:t>
      </w:r>
    </w:p>
    <w:p>
      <w:pPr>
        <w:pStyle w:val="NoSpacing"/>
      </w:pPr>
      <w:r>
        <w:t xml:space="preserve">    dU/dy = (E(r_p) - r_f) - A*y*sigma_p^2 = 0</w:t>
      </w:r>
    </w:p>
    <w:p>
      <w:r>
        <w:t>解得 y*：</w:t>
      </w:r>
    </w:p>
    <w:p>
      <w:pPr>
        <w:pStyle w:val="NoSpacing"/>
      </w:pPr>
      <w:r>
        <w:t xml:space="preserve">    y* = (E(r_p) - r_f) / (A * sigma_p^2)</w:t>
      </w:r>
    </w:p>
    <w:p>
      <w:r>
        <w:t>其中 A = 3，E(r_p) = 0.568509%（日度），r_f = 0.005342%（日度），sigma_p = 9.589985%（日度）：</w:t>
      </w:r>
    </w:p>
    <w:p>
      <w:pPr>
        <w:pStyle w:val="NoSpacing"/>
      </w:pPr>
      <w:r>
        <w:t xml:space="preserve">    y* = (0.568509% - 0.005342%) / (3 x (9.589985%)^2) = 0.2041</w:t>
      </w:r>
    </w:p>
    <w:p>
      <w:r>
        <w:t>由于 y* = 0.2041，投资者将 20.41% 的财富投资于切线组合，79.59% 投资于无风险资产。</w:t>
      </w:r>
    </w:p>
    <w:p>
      <w:r>
        <w:t>完整组合（年化）：期望收益率 = 30.3141%, 标准差 = 31.0741%。</w:t>
      </w:r>
    </w:p>
    <w:p>
      <w:pPr>
        <w:pStyle w:val="Heading3"/>
      </w:pPr>
      <w:r>
        <w:t>核心代码：第三步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3: Complete Portfolio (Utility Maximization)</w:t>
        <w:br/>
        <w:t>A = 3  # risk aversion coefficient</w:t>
        <w:br/>
        <w:t># FOC: dU/dy = (mu_tang - rf) - A * y * sigma_tang^2 = 0</w:t>
        <w:br/>
        <w:t>y_star = (mu_tang - rf) / (A * sigma_tang**2)</w:t>
        <w:br/>
        <w:t>mu_complete = rf + y_star * (mu_tang - rf)</w:t>
        <w:br/>
        <w:t>sigma_complete = abs(y_star) * sigma_tang</w:t>
      </w:r>
    </w:p>
    <w:p>
      <w:pPr>
        <w:pStyle w:val="Heading1"/>
      </w:pPr>
      <w:r>
        <w:t>5. 图形分析</w:t>
      </w:r>
    </w:p>
    <w:p>
      <w:r>
        <w:t>图1展示了最小方差前沿（虚线为下半部分，实线为有效前沿）、资本市场线 (CML)、全局最小方差组合 (绿色方块)、切线组合 (红色五角星)、完整组合 (紫色圆圈) 以及10个行业指数 (黑色三角形)。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9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_frontier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图2展示了切线组合的各行业权重。蓝色柱为多头持仓，红色柱为空头持仓。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0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weights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03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