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Portfolio Optimization Report</w:t>
      </w:r>
    </w:p>
    <w:p>
      <w:r>
        <w:t>Project of Investment, 2026</w:t>
      </w:r>
    </w:p>
    <w:p>
      <w:pPr>
        <w:pStyle w:val="Heading1"/>
      </w:pPr>
      <w:r>
        <w:t>1. Data Description and Assumptions</w:t>
      </w:r>
    </w:p>
    <w:p>
      <w:pPr>
        <w:pStyle w:val="Heading2"/>
      </w:pPr>
      <w:r>
        <w:t>1.1 Data Description</w:t>
      </w:r>
    </w:p>
    <w:p>
      <w:r>
        <w:t>This study examines 10 Shenwan (SW) Level-1 industry indices over the period from January 5, 2015 to December 31, 2025, covering 2,674 trading days. The 10 industries are: 农林牧渔 (Agriculture, 801010), 有色金属 (Non-Ferrous Metals, 801050), 电子 (Electronics, 801080), 家用电器 (Home Appliances, 801110), 食品饮料 (Food &amp; Beverage, 801120), 医药生物 (Pharma &amp; Bio, 801150), 公用事业 (Utilities, 801160), 房地产 (Real Estate, 801180), 银行 (Banking, 801780), and 机械设备 (Machinery, 801890).</w:t>
      </w:r>
    </w:p>
    <w:p>
      <w:r>
        <w:t>Daily closing index levels and daily returns (in percentage form) were downloaded from the CSMAR (China Stock Market &amp; Accounting Research) database. The risk-free rate is the overnight SHIBOR (Shanghai Interbank Offered Rate), downloaded from the RESSET database for the same period.</w:t>
      </w:r>
    </w:p>
    <w:p>
      <w:pPr>
        <w:pStyle w:val="Heading2"/>
      </w:pPr>
      <w:r>
        <w:t>1.2 Risk-Free Rate Conversion</w:t>
      </w:r>
    </w:p>
    <w:p>
      <w:r>
        <w:t>The overnight SHIBOR is quoted as an annualized percentage rate using the Actual/360 day-count convention, which is the standard for the Chinese interbank market. To convert to a daily rate in decimal form:</w:t>
      </w:r>
    </w:p>
    <w:p>
      <w:pPr>
        <w:pStyle w:val="NoSpacing"/>
      </w:pPr>
      <w:r>
        <w:t xml:space="preserve">    r_daily = r_annual(%) / (360 x 100)</w:t>
      </w:r>
    </w:p>
    <w:p>
      <w:r>
        <w:t>The average overnight SHIBOR over the sample period is 1.9231% per annum, corresponding to an average daily risk-free rate of 0.005342% (or 0.00005342 in decimal).</w:t>
      </w:r>
    </w:p>
    <w:p>
      <w:pPr>
        <w:pStyle w:val="Heading2"/>
      </w:pPr>
      <w:r>
        <w:t>1.3 Assumptions</w:t>
      </w:r>
    </w:p>
    <w:p>
      <w:r>
        <w:t>(1) Investors are mean-variance optimizers following the Markowitz framework. (2) Short-selling is allowed: portfolio weights are unconstrained and may be negative. (3) The risk aversion coefficient is A = 3, with utility function U = E(r) - (1/2) x A x sigma^2. (4) Returns are independently and identically distributed (i.i.d.) over the sample period. (5) This is a single-period investment model with no transaction costs or taxes. (6) All assets are perfectly divisible and liquid. (7) Investors can borrow and lend at the risk-free rate (SHIBOR overnight).</w:t>
      </w:r>
    </w:p>
    <w:p>
      <w:pPr>
        <w:pStyle w:val="Heading3"/>
      </w:pPr>
      <w:r>
        <w:t>Table 1: Descriptive Statistics of Daily Returns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Index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Daily Mean Return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Daily Std Dev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Annualized Mean Return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Annualized Std Dev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农林牧渔 (801010)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0.0229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1.7695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5.7695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28.0892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有色金属 (801050)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0.0534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2.1171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13.4506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33.6084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电子 (801080)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0.0517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2.1177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13.0238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33.6167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家用电器 (801110)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0.0427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1.8170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10.7608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28.8440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食品饮料 (801120)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0.0652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1.8503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16.4369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29.3727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医药生物 (801150)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0.0173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1.7182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4.3692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27.2762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公用事业 (801160)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0.0034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1.5446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0.8664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24.5204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房地产 (801180)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-0.0208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1.8612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-5.2410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29.5452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银行 (801780)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0.0157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1.3855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3.9492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21.9943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机械设备 (801890)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0.0228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1.7917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5.7547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28.4421</w:t>
            </w:r>
          </w:p>
        </w:tc>
      </w:tr>
    </w:tbl>
    <w:p>
      <w:pPr>
        <w:pStyle w:val="Heading3"/>
      </w:pPr>
      <w:r>
        <w:t>Table 2: Correlation Matrix of Daily Returns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农林牧渔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有色金属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电子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家用电器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食品饮料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医药生物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公用事业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房地产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银行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机械设备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农林牧渔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0.6100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0.6141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0.5707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0.5610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0.6664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0.6744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0.6052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0.3334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0.7048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有色金属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0.6100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0.7009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0.6293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0.5422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0.6155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0.6083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0.5342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0.3930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0.7931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电子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0.6141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0.7009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0.6684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0.5473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0.7429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0.5854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0.5573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0.3015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0.8709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家用电器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0.5707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0.6293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0.6684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0.7396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0.6901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0.5404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0.5821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0.5361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0.7235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食品饮料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0.5610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0.5422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0.5473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0.7396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0.6845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0.4489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0.4607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0.4933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0.5898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医药生物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0.6664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0.6155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0.7429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0.6901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0.6845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0.5854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0.5662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0.3492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0.7795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公用事业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0.6744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0.6083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0.5854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0.5404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0.4489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0.5854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0.6688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0.4451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0.7116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房地产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0.6052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0.5342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0.5573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0.5821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0.4607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0.5662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0.6688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0.5269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0.6655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银行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0.3334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0.3930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0.3015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0.5361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0.4933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0.3492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0.4451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0.5269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0.3927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机械设备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0.7048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0.7931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0.8709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0.7235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0.5898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0.7795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0.7116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0.6655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0.3927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1.0000</w:t>
            </w:r>
          </w:p>
        </w:tc>
      </w:tr>
    </w:tbl>
    <w:p>
      <w:pPr>
        <w:pStyle w:val="Heading1"/>
      </w:pPr>
      <w:r>
        <w:t>2. Markowitz Step 1: Efficient Frontier of Risky Assets</w:t>
      </w:r>
    </w:p>
    <w:p>
      <w:r>
        <w:t>In the first step, we consider only the 10 risky industry indices (no risk-free asset). We compute the Global Minimum-Variance Portfolio (GMV) and the minimum-variance frontier.</w:t>
      </w:r>
    </w:p>
    <w:p>
      <w:r>
        <w:t>Let mu denote the (10x1) vector of mean daily returns and Sigma the (10x10) covariance matrix. The minimum-variance frontier is derived analytically using the two-fund theorem. Define:</w:t>
      </w:r>
    </w:p>
    <w:p>
      <w:pPr>
        <w:pStyle w:val="NoSpacing"/>
      </w:pPr>
      <w:r>
        <w:t xml:space="preserve">    A = 1' * Sigma^(-1) * mu</w:t>
        <w:br/>
        <w:t xml:space="preserve">    B = mu' * Sigma^(-1) * mu</w:t>
        <w:br/>
        <w:t xml:space="preserve">    C = 1' * Sigma^(-1) * 1</w:t>
        <w:br/>
        <w:t xml:space="preserve">    D = B*C - A^2</w:t>
      </w:r>
    </w:p>
    <w:p>
      <w:r>
        <w:t>The GMV portfolio weights are: w_gmv = Sigma^(-1) * 1 / C</w:t>
      </w:r>
    </w:p>
    <w:p>
      <w:r>
        <w:t>GMV portfolio: E(r) = 3.5103% (annualized), sigma = 18.7994% (annualized).</w:t>
      </w:r>
    </w:p>
    <w:p>
      <w:r>
        <w:t>For any target return E, the minimum variance is: sigma^2 = (C*E^2 - 2*A*E + B) / D. The upper branch of this hyperbola (above the GMV) constitutes the efficient frontier.</w:t>
      </w:r>
    </w:p>
    <w:p>
      <w:pPr>
        <w:pStyle w:val="Heading3"/>
      </w:pPr>
      <w:r>
        <w:t>Key Code: Step 1</w:t>
      </w:r>
    </w:p>
    <w:p>
      <w:pPr>
        <w:spacing w:before="40" w:after="40"/>
      </w:pPr>
      <w:r>
        <w:rPr>
          <w:rFonts w:ascii="Courier New" w:hAnsi="Courier New"/>
          <w:color w:val="000000"/>
          <w:sz w:val="14"/>
        </w:rPr>
        <w:t># Step 1: Efficient Frontier (risky assets only)</w:t>
        <w:br/>
        <w:t>mu = returns.mean().values          # (10,) daily mean returns</w:t>
        <w:br/>
        <w:t>Sigma = returns.cov().values         # (10,10) covariance matrix</w:t>
        <w:br/>
        <w:t>Sigma_inv = np.linalg.inv(Sigma)</w:t>
        <w:br/>
        <w:t>ones = np.ones(10)</w:t>
        <w:br/>
        <w:t>A = ones @ Sigma_inv @ mu</w:t>
        <w:br/>
        <w:t>B = mu @ Sigma_inv @ mu</w:t>
        <w:br/>
        <w:t>C = ones @ Sigma_inv @ ones</w:t>
        <w:br/>
        <w:t>D = B * C - A**2</w:t>
        <w:br/>
        <w:t>w_gmv = Sigma_inv @ ones / C        # GMV portfolio weights</w:t>
        <w:br/>
        <w:t># Frontier: sigma^2 = (C*E^2 - 2*A*E + B) / D</w:t>
      </w:r>
    </w:p>
    <w:p>
      <w:pPr>
        <w:pStyle w:val="Heading1"/>
      </w:pPr>
      <w:r>
        <w:t>3. Markowitz Step 2: Tangency Portfolio &amp; CML</w:t>
      </w:r>
    </w:p>
    <w:p>
      <w:r>
        <w:t>In the second step, we introduce the risk-free asset (overnight SHIBOR) and find the tangency portfolio — the point on the efficient frontier that maximizes the Sharpe ratio. The tangency portfolio is the optimal risky portfolio.</w:t>
      </w:r>
    </w:p>
    <w:p>
      <w:r>
        <w:t>With short-selling allowed, the analytical solution is:</w:t>
      </w:r>
    </w:p>
    <w:p>
      <w:pPr>
        <w:pStyle w:val="NoSpacing"/>
      </w:pPr>
      <w:r>
        <w:t xml:space="preserve">    w* = Sigma^(-1) * (mu - r_f * 1) / [1' * Sigma^(-1) * (mu - r_f * 1)]</w:t>
      </w:r>
    </w:p>
    <w:p>
      <w:pPr>
        <w:pStyle w:val="Heading3"/>
      </w:pPr>
      <w:r>
        <w:t>Table 3: Tangency Portfolio Weights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Industry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Weight (%)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农林牧渔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92.6788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有色金属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213.3934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电子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404.6602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家用电器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61.2533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食品饮料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397.9541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医药生物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-342.3841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公用事业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-47.0029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房地产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-361.0476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银行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36.5371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机械设备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-356.0423</w:t>
            </w:r>
          </w:p>
        </w:tc>
      </w:tr>
    </w:tbl>
    <w:p>
      <w:r>
        <w:t>Tangency portfolio (annualized): E(r) = 143.2642%, sigma = 152.2363%, Sharpe ratio = 0.9322.</w:t>
      </w:r>
    </w:p>
    <w:p>
      <w:r>
        <w:t>The Capital Market Line (CML) passes through the risk-free point (0, r_f) and the tangency portfolio (sigma_p, E(r_p)):</w:t>
      </w:r>
    </w:p>
    <w:p>
      <w:pPr>
        <w:pStyle w:val="NoSpacing"/>
      </w:pPr>
      <w:r>
        <w:t xml:space="preserve">    E(r_c) = r_f + [(E(r_p) - r_f) / sigma_p] * sigma_c</w:t>
      </w:r>
    </w:p>
    <w:p>
      <w:r>
        <w:t>The slope of the CML (reward-to-variability ratio) is the annualized Sharpe ratio: 0.9322.</w:t>
      </w:r>
    </w:p>
    <w:p>
      <w:pPr>
        <w:pStyle w:val="Heading3"/>
      </w:pPr>
      <w:r>
        <w:t>Key Code: Step 2</w:t>
      </w:r>
    </w:p>
    <w:p>
      <w:pPr>
        <w:spacing w:before="40" w:after="40"/>
      </w:pPr>
      <w:r>
        <w:rPr>
          <w:rFonts w:ascii="Courier New" w:hAnsi="Courier New"/>
          <w:color w:val="000000"/>
          <w:sz w:val="14"/>
        </w:rPr>
        <w:t># Step 2: Tangency Portfolio &amp; CML</w:t>
        <w:br/>
        <w:t>rf = shibor_daily.mean()             # average daily risk-free rate</w:t>
        <w:br/>
        <w:t>excess_mu = mu - rf * np.ones(10)</w:t>
        <w:br/>
        <w:t>w_tang = Sigma_inv @ excess_mu / (ones @ Sigma_inv @ excess_mu)</w:t>
        <w:br/>
        <w:t>mu_tang = w_tang @ mu</w:t>
        <w:br/>
        <w:t>sigma_tang = np.sqrt(w_tang @ Sigma @ w_tang)</w:t>
        <w:br/>
        <w:t>sharpe = (mu_tang - rf) / sigma_tang  # daily Sharpe ratio</w:t>
        <w:br/>
        <w:t># CML: E(r_c) = rf + sharpe * sigma_c</w:t>
      </w:r>
    </w:p>
    <w:p>
      <w:pPr>
        <w:pStyle w:val="Heading1"/>
      </w:pPr>
      <w:r>
        <w:t>4. Markowitz Step 3: Complete Portfolio (Utility Maximization)</w:t>
      </w:r>
    </w:p>
    <w:p>
      <w:r>
        <w:t>In the third step, we use the investor's utility function to determine the optimal allocation between the tangency portfolio and the risk-free asset.</w:t>
      </w:r>
    </w:p>
    <w:p>
      <w:r>
        <w:t>The investor maximizes: U = E(r_c) - (1/2) * A * sigma_c^2</w:t>
      </w:r>
    </w:p>
    <w:p>
      <w:r>
        <w:t>Substituting E(r_c) = r_f + y*(E(r_p) - r_f) and sigma_c = y*sigma_p:</w:t>
      </w:r>
    </w:p>
    <w:p>
      <w:pPr>
        <w:pStyle w:val="NoSpacing"/>
      </w:pPr>
      <w:r>
        <w:t xml:space="preserve">    U = r_f + y*(E(r_p) - r_f) - (1/2)*A*y^2*sigma_p^2</w:t>
      </w:r>
    </w:p>
    <w:p>
      <w:r>
        <w:t>Taking the First-Order Condition (FOC): dU/dy = 0</w:t>
      </w:r>
    </w:p>
    <w:p>
      <w:pPr>
        <w:pStyle w:val="NoSpacing"/>
      </w:pPr>
      <w:r>
        <w:t xml:space="preserve">    dU/dy = (E(r_p) - r_f) - A*y*sigma_p^2 = 0</w:t>
      </w:r>
    </w:p>
    <w:p>
      <w:r>
        <w:t>Solving for y*:</w:t>
      </w:r>
    </w:p>
    <w:p>
      <w:pPr>
        <w:pStyle w:val="NoSpacing"/>
      </w:pPr>
      <w:r>
        <w:t xml:space="preserve">    y* = (E(r_p) - r_f) / (A * sigma_p^2)</w:t>
      </w:r>
    </w:p>
    <w:p>
      <w:r>
        <w:t>With A = 3, E(r_p) = 0.568509% (daily), r_f = 0.005342% (daily), sigma_p = 9.589985% (daily):</w:t>
      </w:r>
    </w:p>
    <w:p>
      <w:pPr>
        <w:pStyle w:val="NoSpacing"/>
      </w:pPr>
      <w:r>
        <w:t xml:space="preserve">    y* = (0.568509% - 0.005342%) / (3 x (9.589985%)^2) = 0.2041</w:t>
      </w:r>
    </w:p>
    <w:p>
      <w:r>
        <w:t>Since y* = 0.2041, the investor allocates 20.41% of wealth to the tangency portfolio and 79.59% to the risk-free asset.</w:t>
      </w:r>
    </w:p>
    <w:p>
      <w:r>
        <w:t>Complete portfolio (annualized): E(r_c) = 30.3141%, sigma_c = 31.0741%.</w:t>
      </w:r>
    </w:p>
    <w:p>
      <w:pPr>
        <w:pStyle w:val="Heading3"/>
      </w:pPr>
      <w:r>
        <w:t>Key Code: Step 3</w:t>
      </w:r>
    </w:p>
    <w:p>
      <w:pPr>
        <w:spacing w:before="40" w:after="40"/>
      </w:pPr>
      <w:r>
        <w:rPr>
          <w:rFonts w:ascii="Courier New" w:hAnsi="Courier New"/>
          <w:color w:val="000000"/>
          <w:sz w:val="14"/>
        </w:rPr>
        <w:t># Step 3: Complete Portfolio (Utility Maximization)</w:t>
        <w:br/>
        <w:t>A = 3  # risk aversion coefficient</w:t>
        <w:br/>
        <w:t># FOC: dU/dy = (mu_tang - rf) - A * y * sigma_tang^2 = 0</w:t>
        <w:br/>
        <w:t>y_star = (mu_tang - rf) / (A * sigma_tang**2)</w:t>
        <w:br/>
        <w:t>mu_complete = rf + y_star * (mu_tang - rf)</w:t>
        <w:br/>
        <w:t>sigma_complete = abs(y_star) * sigma_tang</w:t>
      </w:r>
    </w:p>
    <w:p>
      <w:pPr>
        <w:pStyle w:val="Heading1"/>
      </w:pPr>
      <w:r>
        <w:t>5. Graphs</w:t>
      </w:r>
    </w:p>
    <w:p>
      <w:r>
        <w:t>Figure 1 shows the minimum-variance frontier (dashed = lower branch, solid = efficient frontier), the Capital Market Line (CML), the Global Minimum-Variance portfolio (green square), the tangency portfolio (red star), the complete portfolio (purple circle), and the 10 individual industry indices (black triangles).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39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t_fronti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shows the tangency portfolio weights. Blue bars indicate long positions and red bars indicate short positions.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9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weigh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9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